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020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sz w:val="44"/>
          <w:szCs w:val="44"/>
          <w:highlight w:val="none"/>
          <w:lang w:val="en-US" w:eastAsia="zh-CN"/>
        </w:rPr>
      </w:pPr>
      <w:r>
        <w:rPr>
          <w:rFonts w:hint="eastAsia" w:ascii="仿宋" w:hAnsi="仿宋" w:eastAsia="仿宋"/>
          <w:sz w:val="44"/>
          <w:szCs w:val="44"/>
          <w:highlight w:val="none"/>
        </w:rPr>
        <w:t>安徽省机械化粮库</w:t>
      </w:r>
      <w:r>
        <w:rPr>
          <w:rFonts w:hint="eastAsia" w:ascii="仿宋" w:hAnsi="仿宋" w:eastAsia="仿宋"/>
          <w:sz w:val="44"/>
          <w:szCs w:val="44"/>
          <w:highlight w:val="none"/>
          <w:lang w:val="en-US" w:eastAsia="zh-CN"/>
        </w:rPr>
        <w:t>搬迁服务项目标段二</w:t>
      </w:r>
      <w:r>
        <w:rPr>
          <w:rFonts w:hint="eastAsia" w:ascii="仿宋" w:hAnsi="仿宋" w:eastAsia="仿宋"/>
          <w:sz w:val="44"/>
          <w:szCs w:val="44"/>
          <w:highlight w:val="none"/>
        </w:rPr>
        <w:t>空调设备拆装</w:t>
      </w:r>
      <w:r>
        <w:rPr>
          <w:rFonts w:hint="eastAsia" w:ascii="仿宋" w:hAnsi="仿宋" w:eastAsia="仿宋"/>
          <w:sz w:val="44"/>
          <w:szCs w:val="44"/>
          <w:highlight w:val="none"/>
          <w:lang w:val="en-US" w:eastAsia="zh-CN"/>
        </w:rPr>
        <w:t>服务二次采购</w:t>
      </w:r>
      <w:r>
        <w:rPr>
          <w:rFonts w:hint="eastAsia" w:ascii="仿宋" w:hAnsi="仿宋" w:eastAsia="仿宋"/>
          <w:sz w:val="44"/>
          <w:szCs w:val="44"/>
          <w:highlight w:val="none"/>
        </w:rPr>
        <w:t>项目询比</w:t>
      </w:r>
      <w:r>
        <w:rPr>
          <w:rFonts w:hint="eastAsia" w:ascii="仿宋" w:hAnsi="仿宋" w:eastAsia="仿宋"/>
          <w:sz w:val="44"/>
          <w:szCs w:val="44"/>
          <w:highlight w:val="none"/>
          <w:lang w:val="en-US" w:eastAsia="zh-CN"/>
        </w:rPr>
        <w:t>文件</w:t>
      </w:r>
    </w:p>
    <w:p w14:paraId="612C4E1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highlight w:val="none"/>
          <w:lang w:val="en-US" w:eastAsia="zh-CN"/>
        </w:rPr>
      </w:pPr>
      <w:r>
        <w:rPr>
          <w:rFonts w:hint="eastAsia" w:ascii="仿宋" w:hAnsi="仿宋" w:eastAsia="仿宋"/>
          <w:highlight w:val="none"/>
          <w:lang w:val="en-US" w:eastAsia="zh-CN"/>
        </w:rPr>
        <w:t>项目编号：AHJL-202611-03</w:t>
      </w:r>
    </w:p>
    <w:p w14:paraId="065B98E8">
      <w:pPr>
        <w:pStyle w:val="20"/>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Chars="0"/>
        <w:textAlignment w:val="auto"/>
        <w:rPr>
          <w:rFonts w:ascii="仿宋" w:hAnsi="仿宋" w:eastAsia="仿宋" w:cs="Times New Roman"/>
          <w:b/>
          <w:bCs/>
          <w:highlight w:val="none"/>
        </w:rPr>
      </w:pPr>
      <w:r>
        <w:rPr>
          <w:rFonts w:ascii="仿宋" w:hAnsi="仿宋" w:eastAsia="仿宋" w:cs="Times New Roman"/>
          <w:b/>
          <w:bCs/>
          <w:highlight w:val="none"/>
        </w:rPr>
        <w:t>项目基本情况</w:t>
      </w:r>
    </w:p>
    <w:p w14:paraId="34B9993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1、采购人：安徽省机械化粮库</w:t>
      </w:r>
    </w:p>
    <w:p w14:paraId="51A5DB6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Times New Roman"/>
          <w:highlight w:val="none"/>
          <w:lang w:val="en-US"/>
        </w:rPr>
      </w:pPr>
      <w:r>
        <w:rPr>
          <w:rFonts w:hint="eastAsia" w:ascii="仿宋" w:hAnsi="仿宋" w:eastAsia="仿宋" w:cs="Times New Roman"/>
          <w:highlight w:val="none"/>
        </w:rPr>
        <w:t>2</w:t>
      </w:r>
      <w:r>
        <w:rPr>
          <w:rFonts w:ascii="仿宋" w:hAnsi="仿宋" w:eastAsia="仿宋" w:cs="Times New Roman"/>
          <w:highlight w:val="none"/>
        </w:rPr>
        <w:t>、项目名称：</w:t>
      </w:r>
      <w:r>
        <w:rPr>
          <w:rFonts w:hint="eastAsia" w:ascii="仿宋" w:hAnsi="仿宋" w:eastAsia="仿宋" w:cs="Times New Roman"/>
          <w:highlight w:val="none"/>
        </w:rPr>
        <w:t>安徽省机械化粮库</w:t>
      </w:r>
      <w:r>
        <w:rPr>
          <w:rFonts w:hint="eastAsia" w:ascii="仿宋" w:hAnsi="仿宋" w:eastAsia="仿宋" w:cs="Times New Roman"/>
          <w:highlight w:val="none"/>
          <w:lang w:val="en-US" w:eastAsia="zh-CN"/>
        </w:rPr>
        <w:t>搬迁服务项目标段二</w:t>
      </w:r>
      <w:r>
        <w:rPr>
          <w:rFonts w:hint="eastAsia" w:ascii="仿宋" w:hAnsi="仿宋" w:eastAsia="仿宋" w:cs="Times New Roman"/>
          <w:highlight w:val="none"/>
        </w:rPr>
        <w:t>空调设备拆装</w:t>
      </w:r>
      <w:r>
        <w:rPr>
          <w:rFonts w:hint="eastAsia" w:ascii="仿宋" w:hAnsi="仿宋" w:eastAsia="仿宋" w:cs="Times New Roman"/>
          <w:highlight w:val="none"/>
          <w:lang w:val="en-US" w:eastAsia="zh-CN"/>
        </w:rPr>
        <w:t>服务二次采购项目</w:t>
      </w:r>
    </w:p>
    <w:p w14:paraId="48A988F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3</w:t>
      </w:r>
      <w:r>
        <w:rPr>
          <w:rFonts w:ascii="仿宋" w:hAnsi="仿宋" w:eastAsia="仿宋" w:cs="Times New Roman"/>
          <w:highlight w:val="none"/>
        </w:rPr>
        <w:t>、项目</w:t>
      </w:r>
      <w:r>
        <w:rPr>
          <w:rFonts w:hint="eastAsia" w:ascii="仿宋" w:hAnsi="仿宋" w:eastAsia="仿宋" w:cs="Times New Roman"/>
          <w:highlight w:val="none"/>
        </w:rPr>
        <w:t>地点</w:t>
      </w:r>
      <w:r>
        <w:rPr>
          <w:rFonts w:ascii="仿宋" w:hAnsi="仿宋" w:eastAsia="仿宋" w:cs="Times New Roman"/>
          <w:highlight w:val="none"/>
        </w:rPr>
        <w:t>：</w:t>
      </w:r>
      <w:r>
        <w:rPr>
          <w:rFonts w:hint="eastAsia" w:ascii="仿宋" w:hAnsi="仿宋" w:eastAsia="仿宋" w:cs="Times New Roman"/>
          <w:highlight w:val="none"/>
          <w:lang w:val="en-US" w:eastAsia="zh-CN"/>
        </w:rPr>
        <w:t>空调拆除</w:t>
      </w:r>
      <w:r>
        <w:rPr>
          <w:rFonts w:hint="eastAsia" w:ascii="仿宋" w:hAnsi="仿宋" w:eastAsia="仿宋" w:cs="Times New Roman"/>
          <w:highlight w:val="none"/>
        </w:rPr>
        <w:t>地址：安徽省合肥市蜀山区井岗镇兴民社区望江西路388号；</w:t>
      </w:r>
      <w:r>
        <w:rPr>
          <w:rFonts w:hint="eastAsia" w:ascii="仿宋" w:hAnsi="仿宋" w:eastAsia="仿宋" w:cs="Times New Roman"/>
          <w:highlight w:val="none"/>
          <w:lang w:val="en-US" w:eastAsia="zh-CN"/>
        </w:rPr>
        <w:t>空调安装</w:t>
      </w:r>
      <w:r>
        <w:rPr>
          <w:rFonts w:hint="eastAsia" w:ascii="仿宋" w:hAnsi="仿宋" w:eastAsia="仿宋" w:cs="Times New Roman"/>
          <w:highlight w:val="none"/>
        </w:rPr>
        <w:t>地址：安徽省合肥市蜀山区潜山路2</w:t>
      </w:r>
      <w:r>
        <w:rPr>
          <w:rFonts w:hint="eastAsia" w:ascii="仿宋" w:hAnsi="仿宋" w:eastAsia="仿宋" w:cs="Times New Roman"/>
          <w:highlight w:val="none"/>
          <w:lang w:val="en-US" w:eastAsia="zh-CN"/>
        </w:rPr>
        <w:t>78</w:t>
      </w:r>
      <w:r>
        <w:rPr>
          <w:rFonts w:hint="eastAsia" w:ascii="仿宋" w:hAnsi="仿宋" w:eastAsia="仿宋" w:cs="Times New Roman"/>
          <w:highlight w:val="none"/>
        </w:rPr>
        <w:t>号（4-12层及北一楼）</w:t>
      </w:r>
    </w:p>
    <w:p w14:paraId="20A018C0">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4、公告期限：2026年11月</w:t>
      </w:r>
      <w:r>
        <w:rPr>
          <w:rFonts w:hint="eastAsia" w:ascii="仿宋" w:hAnsi="仿宋" w:eastAsia="仿宋" w:cs="Times New Roman"/>
          <w:highlight w:val="none"/>
          <w:lang w:val="en-US" w:eastAsia="zh-CN"/>
        </w:rPr>
        <w:t>6</w:t>
      </w:r>
      <w:r>
        <w:rPr>
          <w:rFonts w:hint="eastAsia" w:ascii="仿宋" w:hAnsi="仿宋" w:eastAsia="仿宋" w:cs="Times New Roman"/>
          <w:highlight w:val="none"/>
        </w:rPr>
        <w:t>日起，公告期限为5个日历日。</w:t>
      </w:r>
    </w:p>
    <w:p w14:paraId="451B258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5</w:t>
      </w:r>
      <w:r>
        <w:rPr>
          <w:rFonts w:ascii="仿宋" w:hAnsi="仿宋" w:eastAsia="仿宋" w:cs="Times New Roman"/>
          <w:highlight w:val="none"/>
        </w:rPr>
        <w:t>、最高限价：</w:t>
      </w:r>
      <w:r>
        <w:rPr>
          <w:rFonts w:hint="eastAsia" w:ascii="仿宋" w:hAnsi="仿宋" w:eastAsia="仿宋" w:cs="Times New Roman"/>
          <w:highlight w:val="none"/>
          <w:lang w:val="en-US" w:eastAsia="zh-CN"/>
        </w:rPr>
        <w:t>人民币</w:t>
      </w:r>
      <w:r>
        <w:rPr>
          <w:rFonts w:hint="eastAsia" w:ascii="仿宋" w:hAnsi="仿宋" w:eastAsia="仿宋" w:cs="Times New Roman"/>
          <w:highlight w:val="none"/>
        </w:rPr>
        <w:t>6.5194万元（</w:t>
      </w:r>
      <w:r>
        <w:rPr>
          <w:rFonts w:ascii="仿宋" w:hAnsi="仿宋" w:eastAsia="仿宋" w:cs="Times New Roman"/>
          <w:highlight w:val="none"/>
        </w:rPr>
        <w:t>报价超过最高限价的，其报价无效</w:t>
      </w:r>
      <w:r>
        <w:rPr>
          <w:rFonts w:hint="eastAsia" w:ascii="仿宋" w:hAnsi="仿宋" w:eastAsia="仿宋" w:cs="Times New Roman"/>
          <w:highlight w:val="none"/>
        </w:rPr>
        <w:t>）</w:t>
      </w:r>
    </w:p>
    <w:p w14:paraId="280C3F8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6、</w:t>
      </w:r>
      <w:r>
        <w:rPr>
          <w:rFonts w:ascii="仿宋" w:hAnsi="仿宋" w:eastAsia="仿宋" w:cs="Times New Roman"/>
          <w:highlight w:val="none"/>
        </w:rPr>
        <w:t>采购需求：</w:t>
      </w:r>
      <w:r>
        <w:rPr>
          <w:rFonts w:hint="eastAsia" w:ascii="仿宋" w:hAnsi="仿宋" w:eastAsia="仿宋" w:cs="Times New Roman"/>
          <w:highlight w:val="none"/>
        </w:rPr>
        <w:t>省粮食产业集团本部及采购人办公区、食堂、宿舍等空调拆卸安装搬运服务。省粮食产业集团本部搬迁费用包含在本次项目预算内由采购人支付。</w:t>
      </w:r>
    </w:p>
    <w:p w14:paraId="6E896F9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7</w:t>
      </w:r>
      <w:r>
        <w:rPr>
          <w:rFonts w:ascii="仿宋" w:hAnsi="仿宋" w:eastAsia="仿宋" w:cs="Times New Roman"/>
          <w:highlight w:val="none"/>
        </w:rPr>
        <w:t>、合同履行期限：</w:t>
      </w:r>
      <w:r>
        <w:rPr>
          <w:rFonts w:hint="eastAsia" w:ascii="仿宋" w:hAnsi="仿宋" w:eastAsia="仿宋" w:cs="Times New Roman"/>
          <w:highlight w:val="none"/>
        </w:rPr>
        <w:t>合同签订之日起，接采购人通知，15日内完成原办公地空调设备的拆除，并运输至新办公地完成安装调试。</w:t>
      </w:r>
    </w:p>
    <w:p w14:paraId="1C51342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8</w:t>
      </w:r>
      <w:r>
        <w:rPr>
          <w:rFonts w:ascii="仿宋" w:hAnsi="仿宋" w:eastAsia="仿宋" w:cs="Times New Roman"/>
          <w:highlight w:val="none"/>
        </w:rPr>
        <w:t>、是否接受联合体：本项目不接受联合体。</w:t>
      </w:r>
    </w:p>
    <w:p w14:paraId="053DBAF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rPr>
        <w:t>9</w:t>
      </w:r>
      <w:r>
        <w:rPr>
          <w:rFonts w:ascii="仿宋" w:hAnsi="仿宋" w:eastAsia="仿宋" w:cs="Times New Roman"/>
          <w:highlight w:val="none"/>
        </w:rPr>
        <w:t>、成交确认方式为</w:t>
      </w:r>
      <w:r>
        <w:rPr>
          <w:rFonts w:hint="eastAsia" w:ascii="仿宋" w:hAnsi="仿宋" w:eastAsia="仿宋" w:cs="Times New Roman"/>
          <w:highlight w:val="none"/>
          <w:lang w:val="en-US" w:eastAsia="zh-CN"/>
        </w:rPr>
        <w:t>综合评分法</w:t>
      </w:r>
      <w:r>
        <w:rPr>
          <w:rFonts w:hint="eastAsia" w:ascii="仿宋" w:hAnsi="仿宋" w:eastAsia="仿宋" w:cs="Times New Roman"/>
          <w:highlight w:val="none"/>
          <w:lang w:eastAsia="zh-CN"/>
        </w:rPr>
        <w:t>，</w:t>
      </w:r>
      <w:r>
        <w:rPr>
          <w:rFonts w:hint="eastAsia" w:ascii="仿宋" w:hAnsi="仿宋" w:eastAsia="仿宋" w:cs="Times New Roman"/>
          <w:highlight w:val="none"/>
          <w:lang w:val="en-US" w:eastAsia="zh-CN"/>
        </w:rPr>
        <w:t>评审程序如下：</w:t>
      </w:r>
    </w:p>
    <w:p w14:paraId="3CBF6D1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Times New Roman"/>
          <w:highlight w:val="none"/>
          <w:lang w:val="en-US" w:eastAsia="zh-CN"/>
        </w:rPr>
      </w:pPr>
      <w:r>
        <w:rPr>
          <w:rFonts w:hint="default" w:ascii="仿宋" w:hAnsi="仿宋" w:eastAsia="仿宋" w:cs="Times New Roman"/>
          <w:highlight w:val="none"/>
          <w:lang w:val="en-US" w:eastAsia="zh-CN"/>
        </w:rPr>
        <w:t>1</w:t>
      </w:r>
      <w:r>
        <w:rPr>
          <w:rFonts w:hint="eastAsia" w:ascii="仿宋" w:hAnsi="仿宋" w:eastAsia="仿宋" w:cs="Times New Roman"/>
          <w:highlight w:val="none"/>
          <w:lang w:val="en-US" w:eastAsia="zh-CN"/>
        </w:rPr>
        <w:t>、</w:t>
      </w:r>
      <w:r>
        <w:rPr>
          <w:rFonts w:hint="default" w:ascii="仿宋" w:hAnsi="仿宋" w:eastAsia="仿宋" w:cs="Times New Roman"/>
          <w:highlight w:val="none"/>
          <w:lang w:val="en-US" w:eastAsia="zh-CN"/>
        </w:rPr>
        <w:t>先进行资格审查与技术符合性审查，审查合格的有效报价方可进入价格比较；</w:t>
      </w:r>
    </w:p>
    <w:p w14:paraId="2B6DA09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Times New Roman"/>
          <w:highlight w:val="none"/>
          <w:lang w:val="en-US" w:eastAsia="zh-CN"/>
        </w:rPr>
      </w:pPr>
      <w:r>
        <w:rPr>
          <w:rFonts w:hint="default" w:ascii="仿宋" w:hAnsi="仿宋" w:eastAsia="仿宋" w:cs="Times New Roman"/>
          <w:highlight w:val="none"/>
          <w:lang w:val="en-US" w:eastAsia="zh-CN"/>
        </w:rPr>
        <w:t>2</w:t>
      </w:r>
      <w:r>
        <w:rPr>
          <w:rFonts w:hint="eastAsia" w:ascii="仿宋" w:hAnsi="仿宋" w:eastAsia="仿宋" w:cs="Times New Roman"/>
          <w:highlight w:val="none"/>
          <w:lang w:val="en-US" w:eastAsia="zh-CN"/>
        </w:rPr>
        <w:t>、</w:t>
      </w:r>
      <w:r>
        <w:rPr>
          <w:rFonts w:hint="default" w:ascii="仿宋" w:hAnsi="仿宋" w:eastAsia="仿宋" w:cs="Times New Roman"/>
          <w:highlight w:val="none"/>
          <w:lang w:val="en-US" w:eastAsia="zh-CN"/>
        </w:rPr>
        <w:t>无效报价情形（超限价、未密封盖章、</w:t>
      </w:r>
      <w:r>
        <w:rPr>
          <w:rFonts w:hint="eastAsia" w:ascii="仿宋" w:hAnsi="仿宋" w:eastAsia="仿宋" w:cs="Times New Roman"/>
          <w:highlight w:val="none"/>
          <w:lang w:val="en-US" w:eastAsia="zh-CN"/>
        </w:rPr>
        <w:t>响应文件格式、</w:t>
      </w:r>
      <w:r>
        <w:rPr>
          <w:rFonts w:hint="default" w:ascii="仿宋" w:hAnsi="仿宋" w:eastAsia="仿宋" w:cs="Times New Roman"/>
          <w:highlight w:val="none"/>
          <w:lang w:val="en-US" w:eastAsia="zh-CN"/>
        </w:rPr>
        <w:t>报价漏项等）；</w:t>
      </w:r>
    </w:p>
    <w:p w14:paraId="2A13F5B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default" w:ascii="仿宋" w:hAnsi="仿宋" w:eastAsia="仿宋" w:cs="Times New Roman"/>
          <w:highlight w:val="none"/>
          <w:lang w:val="en-US" w:eastAsia="zh-CN"/>
        </w:rPr>
        <w:t>3</w:t>
      </w:r>
      <w:r>
        <w:rPr>
          <w:rFonts w:hint="eastAsia" w:ascii="仿宋" w:hAnsi="仿宋" w:eastAsia="仿宋" w:cs="Times New Roman"/>
          <w:highlight w:val="none"/>
          <w:lang w:val="en-US" w:eastAsia="zh-CN"/>
        </w:rPr>
        <w:t>、评分细则：</w:t>
      </w:r>
    </w:p>
    <w:tbl>
      <w:tblPr>
        <w:tblStyle w:val="13"/>
        <w:tblW w:w="8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960"/>
        <w:gridCol w:w="2328"/>
        <w:gridCol w:w="4723"/>
      </w:tblGrid>
      <w:tr w14:paraId="7A6B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970" w:type="dxa"/>
            <w:gridSpan w:val="4"/>
            <w:noWrap w:val="0"/>
            <w:vAlign w:val="center"/>
          </w:tcPr>
          <w:p w14:paraId="6AB01B3F">
            <w:pPr>
              <w:jc w:val="center"/>
              <w:rPr>
                <w:rFonts w:hint="eastAsia"/>
                <w:sz w:val="21"/>
                <w:szCs w:val="21"/>
                <w:highlight w:val="none"/>
              </w:rPr>
            </w:pPr>
            <w:r>
              <w:rPr>
                <w:rFonts w:hint="eastAsia"/>
                <w:b/>
                <w:bCs/>
                <w:sz w:val="21"/>
                <w:szCs w:val="21"/>
                <w:highlight w:val="none"/>
              </w:rPr>
              <w:t>详细评审标准和程序(</w:t>
            </w:r>
            <w:r>
              <w:rPr>
                <w:rFonts w:hint="eastAsia"/>
                <w:b/>
                <w:bCs/>
                <w:sz w:val="21"/>
                <w:szCs w:val="21"/>
                <w:highlight w:val="none"/>
                <w:lang w:eastAsia="zh-CN"/>
              </w:rPr>
              <w:t>综合评</w:t>
            </w:r>
            <w:r>
              <w:rPr>
                <w:rFonts w:hint="eastAsia"/>
                <w:b/>
                <w:bCs/>
                <w:sz w:val="21"/>
                <w:szCs w:val="21"/>
                <w:highlight w:val="none"/>
                <w:lang w:val="en-US" w:eastAsia="zh-CN"/>
              </w:rPr>
              <w:t>分</w:t>
            </w:r>
            <w:r>
              <w:rPr>
                <w:rFonts w:hint="eastAsia"/>
                <w:b/>
                <w:bCs/>
                <w:sz w:val="21"/>
                <w:szCs w:val="21"/>
                <w:highlight w:val="none"/>
                <w:lang w:eastAsia="zh-CN"/>
              </w:rPr>
              <w:t>法</w:t>
            </w:r>
            <w:r>
              <w:rPr>
                <w:rFonts w:hint="eastAsia"/>
                <w:b/>
                <w:bCs/>
                <w:sz w:val="21"/>
                <w:szCs w:val="21"/>
                <w:highlight w:val="none"/>
              </w:rPr>
              <w:t>)</w:t>
            </w:r>
          </w:p>
        </w:tc>
      </w:tr>
      <w:tr w14:paraId="4942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19" w:type="dxa"/>
            <w:gridSpan w:val="2"/>
            <w:noWrap w:val="0"/>
            <w:vAlign w:val="center"/>
          </w:tcPr>
          <w:p w14:paraId="4AABF5E5">
            <w:pPr>
              <w:jc w:val="center"/>
              <w:rPr>
                <w:b/>
                <w:bCs/>
                <w:sz w:val="21"/>
                <w:szCs w:val="21"/>
                <w:highlight w:val="none"/>
              </w:rPr>
            </w:pPr>
            <w:r>
              <w:rPr>
                <w:rFonts w:hint="eastAsia"/>
                <w:b/>
                <w:bCs/>
                <w:sz w:val="21"/>
                <w:szCs w:val="21"/>
                <w:highlight w:val="none"/>
              </w:rPr>
              <w:t>条款号</w:t>
            </w:r>
          </w:p>
        </w:tc>
        <w:tc>
          <w:tcPr>
            <w:tcW w:w="2328" w:type="dxa"/>
            <w:noWrap w:val="0"/>
            <w:vAlign w:val="center"/>
          </w:tcPr>
          <w:p w14:paraId="6E25BBC4">
            <w:pPr>
              <w:jc w:val="center"/>
              <w:rPr>
                <w:b/>
                <w:bCs/>
                <w:sz w:val="21"/>
                <w:szCs w:val="21"/>
                <w:highlight w:val="none"/>
              </w:rPr>
            </w:pPr>
            <w:r>
              <w:rPr>
                <w:rFonts w:hint="eastAsia"/>
                <w:b/>
                <w:bCs/>
                <w:sz w:val="21"/>
                <w:szCs w:val="21"/>
                <w:highlight w:val="none"/>
              </w:rPr>
              <w:t>条款内容</w:t>
            </w:r>
          </w:p>
        </w:tc>
        <w:tc>
          <w:tcPr>
            <w:tcW w:w="4723" w:type="dxa"/>
            <w:noWrap w:val="0"/>
            <w:vAlign w:val="center"/>
          </w:tcPr>
          <w:p w14:paraId="59A63764">
            <w:pPr>
              <w:jc w:val="center"/>
              <w:rPr>
                <w:b/>
                <w:bCs/>
                <w:sz w:val="21"/>
                <w:szCs w:val="21"/>
                <w:highlight w:val="none"/>
              </w:rPr>
            </w:pPr>
            <w:r>
              <w:rPr>
                <w:rFonts w:hint="eastAsia"/>
                <w:b/>
                <w:bCs/>
                <w:sz w:val="21"/>
                <w:szCs w:val="21"/>
                <w:highlight w:val="none"/>
              </w:rPr>
              <w:t>编列内容</w:t>
            </w:r>
          </w:p>
        </w:tc>
      </w:tr>
      <w:tr w14:paraId="0D82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19" w:type="dxa"/>
            <w:gridSpan w:val="2"/>
            <w:noWrap w:val="0"/>
            <w:vAlign w:val="center"/>
          </w:tcPr>
          <w:p w14:paraId="03AAF1FE">
            <w:pPr>
              <w:jc w:val="center"/>
              <w:rPr>
                <w:sz w:val="21"/>
                <w:szCs w:val="21"/>
                <w:highlight w:val="none"/>
              </w:rPr>
            </w:pPr>
            <w:r>
              <w:rPr>
                <w:rFonts w:hint="eastAsia"/>
                <w:sz w:val="21"/>
                <w:szCs w:val="21"/>
                <w:highlight w:val="none"/>
              </w:rPr>
              <w:t>3.1</w:t>
            </w:r>
          </w:p>
        </w:tc>
        <w:tc>
          <w:tcPr>
            <w:tcW w:w="2328" w:type="dxa"/>
            <w:noWrap w:val="0"/>
            <w:vAlign w:val="center"/>
          </w:tcPr>
          <w:p w14:paraId="44655717">
            <w:pPr>
              <w:jc w:val="center"/>
              <w:rPr>
                <w:rFonts w:hint="eastAsia"/>
                <w:sz w:val="21"/>
                <w:szCs w:val="21"/>
                <w:highlight w:val="none"/>
              </w:rPr>
            </w:pPr>
            <w:r>
              <w:rPr>
                <w:rFonts w:hint="eastAsia"/>
                <w:sz w:val="21"/>
                <w:szCs w:val="21"/>
                <w:highlight w:val="none"/>
              </w:rPr>
              <w:t>分值构成</w:t>
            </w:r>
          </w:p>
          <w:p w14:paraId="21300A65">
            <w:pPr>
              <w:jc w:val="center"/>
              <w:rPr>
                <w:rFonts w:hint="eastAsia"/>
                <w:sz w:val="21"/>
                <w:szCs w:val="21"/>
                <w:highlight w:val="none"/>
              </w:rPr>
            </w:pPr>
            <w:r>
              <w:rPr>
                <w:rFonts w:hint="eastAsia"/>
                <w:sz w:val="21"/>
                <w:szCs w:val="21"/>
                <w:highlight w:val="none"/>
              </w:rPr>
              <w:t>(总分100分)</w:t>
            </w:r>
          </w:p>
        </w:tc>
        <w:tc>
          <w:tcPr>
            <w:tcW w:w="4723" w:type="dxa"/>
            <w:noWrap w:val="0"/>
            <w:vAlign w:val="center"/>
          </w:tcPr>
          <w:p w14:paraId="55C24CDB">
            <w:pPr>
              <w:jc w:val="left"/>
              <w:rPr>
                <w:sz w:val="21"/>
                <w:szCs w:val="21"/>
                <w:highlight w:val="none"/>
                <w:u w:val="none"/>
              </w:rPr>
            </w:pPr>
            <w:r>
              <w:rPr>
                <w:rFonts w:hint="eastAsia"/>
                <w:sz w:val="21"/>
                <w:szCs w:val="21"/>
                <w:highlight w:val="none"/>
                <w:u w:val="none"/>
              </w:rPr>
              <w:t>（1）商务部分：</w:t>
            </w:r>
            <w:r>
              <w:rPr>
                <w:rFonts w:hint="eastAsia"/>
                <w:sz w:val="21"/>
                <w:szCs w:val="21"/>
                <w:highlight w:val="none"/>
                <w:u w:val="none"/>
                <w:lang w:val="en-US" w:eastAsia="zh-CN"/>
              </w:rPr>
              <w:t>30</w:t>
            </w:r>
            <w:r>
              <w:rPr>
                <w:rFonts w:hint="eastAsia"/>
                <w:sz w:val="21"/>
                <w:szCs w:val="21"/>
                <w:highlight w:val="none"/>
                <w:u w:val="none"/>
              </w:rPr>
              <w:t>分</w:t>
            </w:r>
          </w:p>
          <w:p w14:paraId="2E7C1E7F">
            <w:pPr>
              <w:jc w:val="left"/>
              <w:rPr>
                <w:sz w:val="21"/>
                <w:szCs w:val="21"/>
                <w:highlight w:val="none"/>
                <w:u w:val="none"/>
              </w:rPr>
            </w:pPr>
            <w:r>
              <w:rPr>
                <w:rFonts w:hint="eastAsia"/>
                <w:sz w:val="21"/>
                <w:szCs w:val="21"/>
                <w:highlight w:val="none"/>
                <w:u w:val="none"/>
              </w:rPr>
              <w:t>（2）技术部分：</w:t>
            </w:r>
            <w:r>
              <w:rPr>
                <w:rFonts w:hint="eastAsia"/>
                <w:sz w:val="21"/>
                <w:szCs w:val="21"/>
                <w:highlight w:val="none"/>
                <w:u w:val="none"/>
                <w:lang w:val="en-US" w:eastAsia="zh-CN"/>
              </w:rPr>
              <w:t>40</w:t>
            </w:r>
            <w:r>
              <w:rPr>
                <w:rFonts w:hint="eastAsia"/>
                <w:sz w:val="21"/>
                <w:szCs w:val="21"/>
                <w:highlight w:val="none"/>
                <w:u w:val="none"/>
              </w:rPr>
              <w:t>分</w:t>
            </w:r>
          </w:p>
          <w:p w14:paraId="5A74323E">
            <w:pPr>
              <w:jc w:val="left"/>
              <w:rPr>
                <w:sz w:val="21"/>
                <w:szCs w:val="21"/>
                <w:highlight w:val="none"/>
                <w:u w:val="single"/>
              </w:rPr>
            </w:pPr>
            <w:r>
              <w:rPr>
                <w:rFonts w:hint="eastAsia"/>
                <w:sz w:val="21"/>
                <w:szCs w:val="21"/>
                <w:highlight w:val="none"/>
                <w:u w:val="none"/>
              </w:rPr>
              <w:t>（3）报    价：</w:t>
            </w:r>
            <w:r>
              <w:rPr>
                <w:rFonts w:hint="eastAsia"/>
                <w:sz w:val="21"/>
                <w:szCs w:val="21"/>
                <w:highlight w:val="none"/>
                <w:u w:val="none"/>
                <w:lang w:val="en-US" w:eastAsia="zh-CN"/>
              </w:rPr>
              <w:t>30</w:t>
            </w:r>
            <w:r>
              <w:rPr>
                <w:rFonts w:hint="eastAsia"/>
                <w:sz w:val="21"/>
                <w:szCs w:val="21"/>
                <w:highlight w:val="none"/>
                <w:u w:val="none"/>
              </w:rPr>
              <w:t>分</w:t>
            </w:r>
          </w:p>
        </w:tc>
      </w:tr>
      <w:tr w14:paraId="63CC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19" w:type="dxa"/>
            <w:gridSpan w:val="2"/>
            <w:noWrap w:val="0"/>
            <w:vAlign w:val="center"/>
          </w:tcPr>
          <w:p w14:paraId="226C6D07">
            <w:pPr>
              <w:jc w:val="center"/>
              <w:rPr>
                <w:rFonts w:hint="eastAsia"/>
                <w:sz w:val="21"/>
                <w:szCs w:val="21"/>
                <w:highlight w:val="none"/>
              </w:rPr>
            </w:pPr>
            <w:r>
              <w:rPr>
                <w:rFonts w:hint="eastAsia" w:ascii="宋体" w:hAnsi="宋体" w:eastAsia="宋体" w:cs="Times New Roman"/>
                <w:sz w:val="21"/>
                <w:szCs w:val="21"/>
                <w:highlight w:val="none"/>
              </w:rPr>
              <w:t>3.2（</w:t>
            </w:r>
            <w:r>
              <w:rPr>
                <w:rFonts w:hint="eastAsia" w:ascii="宋体" w:hAnsi="宋体" w:eastAsia="宋体" w:cs="Times New Roman"/>
                <w:sz w:val="21"/>
                <w:szCs w:val="21"/>
                <w:highlight w:val="none"/>
                <w:lang w:val="en-US" w:eastAsia="zh-CN"/>
              </w:rPr>
              <w:t>1</w:t>
            </w:r>
            <w:r>
              <w:rPr>
                <w:rFonts w:hint="eastAsia" w:ascii="宋体" w:hAnsi="宋体" w:eastAsia="宋体" w:cs="Times New Roman"/>
                <w:sz w:val="21"/>
                <w:szCs w:val="21"/>
                <w:highlight w:val="none"/>
              </w:rPr>
              <w:t>）</w:t>
            </w:r>
          </w:p>
        </w:tc>
        <w:tc>
          <w:tcPr>
            <w:tcW w:w="2328" w:type="dxa"/>
            <w:noWrap w:val="0"/>
            <w:vAlign w:val="center"/>
          </w:tcPr>
          <w:p w14:paraId="21EDCCA5">
            <w:pPr>
              <w:jc w:val="center"/>
              <w:rPr>
                <w:rFonts w:hint="eastAsia"/>
                <w:sz w:val="21"/>
                <w:szCs w:val="21"/>
                <w:highlight w:val="none"/>
              </w:rPr>
            </w:pPr>
            <w:r>
              <w:rPr>
                <w:rFonts w:hint="eastAsia" w:ascii="宋体" w:hAnsi="宋体" w:eastAsia="宋体" w:cs="Times New Roman"/>
                <w:sz w:val="21"/>
                <w:szCs w:val="21"/>
                <w:highlight w:val="none"/>
              </w:rPr>
              <w:t>评审基准价计算方法</w:t>
            </w:r>
          </w:p>
        </w:tc>
        <w:tc>
          <w:tcPr>
            <w:tcW w:w="4723" w:type="dxa"/>
            <w:noWrap w:val="0"/>
            <w:vAlign w:val="center"/>
          </w:tcPr>
          <w:p w14:paraId="08389C3F">
            <w:pPr>
              <w:jc w:val="left"/>
              <w:rPr>
                <w:rFonts w:hint="eastAsia" w:ascii="宋体" w:hAnsi="宋体" w:eastAsia="宋体" w:cs="Times New Roman"/>
                <w:sz w:val="21"/>
                <w:szCs w:val="21"/>
                <w:highlight w:val="none"/>
                <w:u w:val="none"/>
              </w:rPr>
            </w:pPr>
            <w:r>
              <w:rPr>
                <w:rFonts w:hint="eastAsia" w:ascii="宋体" w:hAnsi="宋体" w:eastAsia="宋体" w:cs="Times New Roman"/>
                <w:sz w:val="21"/>
                <w:szCs w:val="21"/>
                <w:highlight w:val="none"/>
              </w:rPr>
              <w:t>所有有效报价（指通过初步评审的</w:t>
            </w:r>
            <w:r>
              <w:rPr>
                <w:rFonts w:hint="eastAsia" w:ascii="宋体" w:hAnsi="宋体" w:eastAsia="宋体" w:cs="Times New Roman"/>
                <w:sz w:val="21"/>
                <w:szCs w:val="21"/>
                <w:highlight w:val="none"/>
                <w:lang w:val="en-US" w:eastAsia="zh-CN"/>
              </w:rPr>
              <w:t>供应商</w:t>
            </w:r>
            <w:r>
              <w:rPr>
                <w:rFonts w:hint="eastAsia" w:ascii="宋体" w:hAnsi="宋体" w:eastAsia="宋体" w:cs="Times New Roman"/>
                <w:sz w:val="21"/>
                <w:szCs w:val="21"/>
                <w:highlight w:val="none"/>
              </w:rPr>
              <w:t>的</w:t>
            </w:r>
            <w:r>
              <w:rPr>
                <w:rFonts w:hint="eastAsia" w:ascii="宋体" w:hAnsi="宋体" w:eastAsia="宋体" w:cs="Times New Roman"/>
                <w:sz w:val="21"/>
                <w:szCs w:val="21"/>
                <w:highlight w:val="none"/>
                <w:lang w:val="en-US" w:eastAsia="zh-CN"/>
              </w:rPr>
              <w:t>响应</w:t>
            </w:r>
            <w:r>
              <w:rPr>
                <w:rFonts w:hint="eastAsia" w:ascii="宋体" w:hAnsi="宋体" w:eastAsia="宋体" w:cs="Times New Roman"/>
                <w:sz w:val="21"/>
                <w:szCs w:val="21"/>
                <w:highlight w:val="none"/>
              </w:rPr>
              <w:t>报价）的算术平均值作为评</w:t>
            </w:r>
            <w:r>
              <w:rPr>
                <w:rFonts w:hint="eastAsia" w:ascii="宋体" w:hAnsi="宋体" w:eastAsia="宋体" w:cs="Times New Roman"/>
                <w:sz w:val="21"/>
                <w:szCs w:val="21"/>
                <w:highlight w:val="none"/>
                <w:lang w:val="en-US" w:eastAsia="zh-CN"/>
              </w:rPr>
              <w:t>审</w:t>
            </w:r>
            <w:r>
              <w:rPr>
                <w:rFonts w:hint="eastAsia" w:ascii="宋体" w:hAnsi="宋体" w:eastAsia="宋体" w:cs="Times New Roman"/>
                <w:sz w:val="21"/>
                <w:szCs w:val="21"/>
                <w:highlight w:val="none"/>
              </w:rPr>
              <w:t>基准价。</w:t>
            </w:r>
          </w:p>
        </w:tc>
      </w:tr>
      <w:tr w14:paraId="4955F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19" w:type="dxa"/>
            <w:gridSpan w:val="2"/>
            <w:noWrap w:val="0"/>
            <w:vAlign w:val="center"/>
          </w:tcPr>
          <w:p w14:paraId="44220C14">
            <w:pPr>
              <w:jc w:val="center"/>
              <w:rPr>
                <w:sz w:val="21"/>
                <w:szCs w:val="21"/>
                <w:highlight w:val="none"/>
              </w:rPr>
            </w:pPr>
            <w:r>
              <w:rPr>
                <w:rFonts w:hint="eastAsia" w:ascii="宋体" w:hAnsi="宋体" w:eastAsia="宋体" w:cs="Times New Roman"/>
                <w:sz w:val="21"/>
                <w:szCs w:val="21"/>
                <w:highlight w:val="none"/>
                <w:lang w:val="en-US" w:eastAsia="zh-CN"/>
              </w:rPr>
              <w:t>3.2（2）</w:t>
            </w:r>
          </w:p>
        </w:tc>
        <w:tc>
          <w:tcPr>
            <w:tcW w:w="2328" w:type="dxa"/>
            <w:noWrap w:val="0"/>
            <w:vAlign w:val="center"/>
          </w:tcPr>
          <w:p w14:paraId="63A20F8A">
            <w:pPr>
              <w:jc w:val="center"/>
              <w:rPr>
                <w:rFonts w:hint="eastAsia"/>
                <w:sz w:val="21"/>
                <w:szCs w:val="21"/>
                <w:highlight w:val="none"/>
              </w:rPr>
            </w:pPr>
            <w:r>
              <w:rPr>
                <w:rFonts w:hint="default" w:ascii="宋体" w:hAnsi="宋体" w:eastAsia="宋体" w:cs="Times New Roman"/>
                <w:sz w:val="21"/>
                <w:szCs w:val="21"/>
                <w:highlight w:val="none"/>
                <w:lang w:val="en-US" w:eastAsia="zh-CN"/>
              </w:rPr>
              <w:t>偏差率计算公式</w:t>
            </w:r>
          </w:p>
        </w:tc>
        <w:tc>
          <w:tcPr>
            <w:tcW w:w="4723" w:type="dxa"/>
            <w:noWrap w:val="0"/>
            <w:vAlign w:val="center"/>
          </w:tcPr>
          <w:p w14:paraId="7A9FC54D">
            <w:pPr>
              <w:jc w:val="left"/>
              <w:rPr>
                <w:rFonts w:hint="eastAsia"/>
                <w:sz w:val="21"/>
                <w:szCs w:val="21"/>
                <w:highlight w:val="none"/>
              </w:rPr>
            </w:pPr>
            <w:r>
              <w:rPr>
                <w:rFonts w:hint="eastAsia" w:ascii="宋体" w:hAnsi="宋体" w:eastAsia="宋体" w:cs="Times New Roman"/>
                <w:sz w:val="21"/>
                <w:szCs w:val="21"/>
                <w:highlight w:val="none"/>
                <w:lang w:val="en-US" w:eastAsia="zh-CN"/>
              </w:rPr>
              <w:t>偏差率=100%*（响应报价－评审基准价）/评审基准价。</w:t>
            </w:r>
          </w:p>
        </w:tc>
      </w:tr>
      <w:tr w14:paraId="40A0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19" w:type="dxa"/>
            <w:gridSpan w:val="2"/>
            <w:noWrap w:val="0"/>
            <w:vAlign w:val="center"/>
          </w:tcPr>
          <w:p w14:paraId="0D4B560E">
            <w:pPr>
              <w:jc w:val="center"/>
              <w:rPr>
                <w:rFonts w:hint="eastAsia"/>
                <w:b/>
                <w:bCs/>
                <w:sz w:val="21"/>
                <w:szCs w:val="21"/>
                <w:highlight w:val="none"/>
              </w:rPr>
            </w:pPr>
            <w:r>
              <w:rPr>
                <w:rFonts w:hint="eastAsia"/>
                <w:b/>
                <w:bCs/>
                <w:sz w:val="21"/>
                <w:szCs w:val="21"/>
                <w:highlight w:val="none"/>
              </w:rPr>
              <w:t>条款号及名称</w:t>
            </w:r>
          </w:p>
        </w:tc>
        <w:tc>
          <w:tcPr>
            <w:tcW w:w="2328" w:type="dxa"/>
            <w:noWrap w:val="0"/>
            <w:vAlign w:val="center"/>
          </w:tcPr>
          <w:p w14:paraId="44F1FEBA">
            <w:pPr>
              <w:jc w:val="center"/>
              <w:rPr>
                <w:rFonts w:hint="eastAsia"/>
                <w:b/>
                <w:bCs/>
                <w:sz w:val="21"/>
                <w:szCs w:val="21"/>
                <w:highlight w:val="none"/>
              </w:rPr>
            </w:pPr>
            <w:r>
              <w:rPr>
                <w:rFonts w:hint="eastAsia"/>
                <w:b/>
                <w:bCs/>
                <w:sz w:val="21"/>
                <w:szCs w:val="21"/>
                <w:highlight w:val="none"/>
              </w:rPr>
              <w:t>评分因素</w:t>
            </w:r>
          </w:p>
        </w:tc>
        <w:tc>
          <w:tcPr>
            <w:tcW w:w="4723" w:type="dxa"/>
            <w:noWrap w:val="0"/>
            <w:vAlign w:val="center"/>
          </w:tcPr>
          <w:p w14:paraId="34A632E2">
            <w:pPr>
              <w:jc w:val="center"/>
              <w:rPr>
                <w:rFonts w:hint="eastAsia"/>
                <w:b/>
                <w:bCs/>
                <w:sz w:val="21"/>
                <w:szCs w:val="21"/>
                <w:highlight w:val="none"/>
              </w:rPr>
            </w:pPr>
            <w:r>
              <w:rPr>
                <w:rFonts w:hint="eastAsia"/>
                <w:b/>
                <w:bCs/>
                <w:sz w:val="21"/>
                <w:szCs w:val="21"/>
                <w:highlight w:val="none"/>
              </w:rPr>
              <w:t>评分标准</w:t>
            </w:r>
          </w:p>
        </w:tc>
      </w:tr>
      <w:tr w14:paraId="10CF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59" w:type="dxa"/>
            <w:vMerge w:val="restart"/>
            <w:noWrap w:val="0"/>
            <w:vAlign w:val="center"/>
          </w:tcPr>
          <w:p w14:paraId="061E54EC">
            <w:pPr>
              <w:jc w:val="center"/>
              <w:rPr>
                <w:sz w:val="21"/>
                <w:szCs w:val="21"/>
                <w:highlight w:val="none"/>
              </w:rPr>
            </w:pPr>
            <w:r>
              <w:rPr>
                <w:rFonts w:hint="eastAsia"/>
                <w:sz w:val="21"/>
                <w:szCs w:val="21"/>
                <w:highlight w:val="none"/>
              </w:rPr>
              <w:t>3.3（1）</w:t>
            </w:r>
          </w:p>
        </w:tc>
        <w:tc>
          <w:tcPr>
            <w:tcW w:w="960" w:type="dxa"/>
            <w:vMerge w:val="restart"/>
            <w:noWrap w:val="0"/>
            <w:vAlign w:val="center"/>
          </w:tcPr>
          <w:p w14:paraId="082AF627">
            <w:pPr>
              <w:jc w:val="center"/>
              <w:rPr>
                <w:rFonts w:hint="eastAsia"/>
                <w:sz w:val="21"/>
                <w:szCs w:val="21"/>
                <w:highlight w:val="none"/>
              </w:rPr>
            </w:pPr>
            <w:r>
              <w:rPr>
                <w:rFonts w:hint="eastAsia"/>
                <w:sz w:val="21"/>
                <w:szCs w:val="21"/>
                <w:highlight w:val="none"/>
              </w:rPr>
              <w:t>商务评分标准</w:t>
            </w:r>
          </w:p>
        </w:tc>
        <w:tc>
          <w:tcPr>
            <w:tcW w:w="2328" w:type="dxa"/>
            <w:noWrap w:val="0"/>
            <w:vAlign w:val="center"/>
          </w:tcPr>
          <w:p w14:paraId="774B03C4">
            <w:pPr>
              <w:jc w:val="center"/>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类似业绩</w:t>
            </w:r>
          </w:p>
          <w:p w14:paraId="04CE743D">
            <w:pPr>
              <w:jc w:val="center"/>
              <w:rPr>
                <w:rFonts w:hint="eastAsia" w:ascii="宋体" w:hAnsi="宋体" w:eastAsia="宋体" w:cs="Times New Roman"/>
                <w:sz w:val="21"/>
                <w:szCs w:val="21"/>
                <w:highlight w:val="none"/>
              </w:rPr>
            </w:pPr>
            <w:r>
              <w:rPr>
                <w:rFonts w:hint="eastAsia" w:ascii="宋体" w:hAnsi="宋体" w:eastAsia="宋体" w:cs="Times New Roman"/>
                <w:sz w:val="21"/>
                <w:szCs w:val="21"/>
                <w:highlight w:val="none"/>
                <w:lang w:val="en-US" w:eastAsia="zh-CN"/>
              </w:rPr>
              <w:t>（20分）</w:t>
            </w:r>
          </w:p>
        </w:tc>
        <w:tc>
          <w:tcPr>
            <w:tcW w:w="4723" w:type="dxa"/>
            <w:noWrap w:val="0"/>
            <w:vAlign w:val="center"/>
          </w:tcPr>
          <w:p w14:paraId="6C335D63">
            <w:pPr>
              <w:jc w:val="left"/>
              <w:rPr>
                <w:rFonts w:hint="eastAsia" w:ascii="宋体" w:hAnsi="宋体" w:eastAsia="宋体" w:cs="Times New Roman"/>
                <w:b/>
                <w:bCs/>
                <w:sz w:val="21"/>
                <w:szCs w:val="21"/>
                <w:highlight w:val="none"/>
              </w:rPr>
            </w:pPr>
            <w:r>
              <w:rPr>
                <w:rFonts w:hint="eastAsia" w:ascii="宋体" w:hAnsi="宋体" w:eastAsia="宋体" w:cs="Times New Roman"/>
                <w:sz w:val="21"/>
                <w:szCs w:val="21"/>
                <w:highlight w:val="none"/>
              </w:rPr>
              <w:t>自2023年1月1日以来（以合同签订时间为准），具有类似</w:t>
            </w:r>
            <w:r>
              <w:rPr>
                <w:rFonts w:hint="eastAsia" w:ascii="宋体" w:hAnsi="宋体" w:eastAsia="宋体" w:cs="Times New Roman"/>
                <w:sz w:val="21"/>
                <w:szCs w:val="21"/>
                <w:highlight w:val="none"/>
                <w:lang w:val="en-US" w:eastAsia="zh-CN"/>
              </w:rPr>
              <w:t>空调设备拆装服务项目业绩</w:t>
            </w:r>
            <w:r>
              <w:rPr>
                <w:rFonts w:hint="eastAsia" w:ascii="宋体" w:hAnsi="宋体" w:eastAsia="宋体" w:cs="Times New Roman"/>
                <w:sz w:val="21"/>
                <w:szCs w:val="21"/>
                <w:highlight w:val="none"/>
              </w:rPr>
              <w:t>或</w:t>
            </w:r>
            <w:r>
              <w:rPr>
                <w:rFonts w:hint="eastAsia" w:ascii="宋体" w:hAnsi="宋体" w:eastAsia="宋体" w:cs="Times New Roman"/>
                <w:sz w:val="21"/>
                <w:szCs w:val="21"/>
                <w:highlight w:val="none"/>
                <w:lang w:val="en-US" w:eastAsia="zh-CN"/>
              </w:rPr>
              <w:t>类似搬家、</w:t>
            </w:r>
            <w:r>
              <w:rPr>
                <w:rFonts w:hint="eastAsia" w:ascii="宋体" w:hAnsi="宋体" w:eastAsia="宋体" w:cs="Times New Roman"/>
                <w:sz w:val="21"/>
                <w:szCs w:val="21"/>
                <w:highlight w:val="none"/>
              </w:rPr>
              <w:t>搬迁服务项目</w:t>
            </w:r>
            <w:r>
              <w:rPr>
                <w:rFonts w:hint="eastAsia" w:ascii="宋体" w:hAnsi="宋体" w:eastAsia="宋体" w:cs="Times New Roman"/>
                <w:sz w:val="21"/>
                <w:szCs w:val="21"/>
                <w:highlight w:val="none"/>
                <w:lang w:val="en-US" w:eastAsia="zh-CN"/>
              </w:rPr>
              <w:t>业绩中包含空调设备拆装服务内容或者类似空调维保服务项目业绩</w:t>
            </w:r>
            <w:r>
              <w:rPr>
                <w:rFonts w:hint="eastAsia" w:ascii="宋体" w:hAnsi="宋体" w:eastAsia="宋体" w:cs="Times New Roman"/>
                <w:sz w:val="21"/>
                <w:szCs w:val="21"/>
                <w:highlight w:val="none"/>
                <w:lang w:eastAsia="zh-CN"/>
              </w:rPr>
              <w:t>，</w:t>
            </w:r>
            <w:r>
              <w:rPr>
                <w:rFonts w:hint="eastAsia" w:ascii="宋体" w:hAnsi="宋体" w:eastAsia="宋体" w:cs="Times New Roman"/>
                <w:sz w:val="21"/>
                <w:szCs w:val="21"/>
                <w:highlight w:val="none"/>
                <w:lang w:val="en-US" w:eastAsia="zh-CN"/>
              </w:rPr>
              <w:t>每提供1个业绩案例得5分，满分20分</w:t>
            </w:r>
            <w:r>
              <w:rPr>
                <w:rFonts w:hint="eastAsia" w:ascii="宋体" w:hAnsi="宋体" w:eastAsia="宋体" w:cs="Times New Roman"/>
                <w:sz w:val="21"/>
                <w:szCs w:val="21"/>
                <w:highlight w:val="none"/>
              </w:rPr>
              <w:t>。</w:t>
            </w:r>
          </w:p>
          <w:p w14:paraId="5492BB7B">
            <w:pPr>
              <w:jc w:val="left"/>
              <w:rPr>
                <w:rFonts w:hint="default" w:ascii="宋体" w:hAnsi="宋体" w:eastAsia="宋体" w:cs="Times New Roman"/>
                <w:sz w:val="21"/>
                <w:szCs w:val="21"/>
                <w:highlight w:val="none"/>
                <w:lang w:val="en-US" w:eastAsia="zh-CN"/>
              </w:rPr>
            </w:pPr>
            <w:r>
              <w:rPr>
                <w:rFonts w:hint="eastAsia" w:ascii="宋体" w:hAnsi="宋体" w:eastAsia="宋体" w:cs="Times New Roman"/>
                <w:b/>
                <w:bCs/>
                <w:sz w:val="21"/>
                <w:szCs w:val="21"/>
                <w:highlight w:val="none"/>
              </w:rPr>
              <w:t>注：响应文件中须提供合同</w:t>
            </w:r>
            <w:r>
              <w:rPr>
                <w:rFonts w:hint="eastAsia" w:ascii="宋体" w:hAnsi="宋体" w:eastAsia="宋体" w:cs="Times New Roman"/>
                <w:b/>
                <w:bCs/>
                <w:sz w:val="21"/>
                <w:szCs w:val="21"/>
                <w:highlight w:val="none"/>
                <w:lang w:val="en-US" w:eastAsia="zh-CN"/>
              </w:rPr>
              <w:t>复印</w:t>
            </w:r>
            <w:r>
              <w:rPr>
                <w:rFonts w:hint="eastAsia" w:ascii="宋体" w:hAnsi="宋体" w:eastAsia="宋体" w:cs="Times New Roman"/>
                <w:b/>
                <w:bCs/>
                <w:sz w:val="21"/>
                <w:szCs w:val="21"/>
                <w:highlight w:val="none"/>
              </w:rPr>
              <w:t>件，如供应商提供的上述业绩证明材料未能完整或充分反映评审因素（如时间）的，应另附合同甲方出具的证明材料（须加盖合同甲方单位章）予以明确说明</w:t>
            </w:r>
            <w:r>
              <w:rPr>
                <w:rFonts w:hint="eastAsia" w:ascii="宋体" w:hAnsi="宋体" w:eastAsia="宋体" w:cs="Times New Roman"/>
                <w:b/>
                <w:bCs/>
                <w:sz w:val="21"/>
                <w:szCs w:val="21"/>
                <w:highlight w:val="none"/>
                <w:lang w:val="en-US" w:eastAsia="zh-CN"/>
              </w:rPr>
              <w:t>。</w:t>
            </w:r>
          </w:p>
        </w:tc>
      </w:tr>
      <w:tr w14:paraId="0E1A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59" w:type="dxa"/>
            <w:vMerge w:val="continue"/>
            <w:noWrap w:val="0"/>
            <w:vAlign w:val="center"/>
          </w:tcPr>
          <w:p w14:paraId="3E56630A">
            <w:pPr>
              <w:jc w:val="center"/>
              <w:rPr>
                <w:rFonts w:hint="eastAsia"/>
                <w:sz w:val="21"/>
                <w:szCs w:val="21"/>
                <w:highlight w:val="none"/>
              </w:rPr>
            </w:pPr>
          </w:p>
        </w:tc>
        <w:tc>
          <w:tcPr>
            <w:tcW w:w="960" w:type="dxa"/>
            <w:vMerge w:val="continue"/>
            <w:noWrap w:val="0"/>
            <w:vAlign w:val="center"/>
          </w:tcPr>
          <w:p w14:paraId="41CB77C7">
            <w:pPr>
              <w:jc w:val="center"/>
              <w:rPr>
                <w:rFonts w:hint="eastAsia"/>
                <w:sz w:val="21"/>
                <w:szCs w:val="21"/>
                <w:highlight w:val="none"/>
              </w:rPr>
            </w:pPr>
          </w:p>
        </w:tc>
        <w:tc>
          <w:tcPr>
            <w:tcW w:w="2328" w:type="dxa"/>
            <w:noWrap w:val="0"/>
            <w:vAlign w:val="center"/>
          </w:tcPr>
          <w:p w14:paraId="44A68F3C">
            <w:pPr>
              <w:jc w:val="center"/>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人员配备</w:t>
            </w:r>
          </w:p>
          <w:p w14:paraId="34BB6028">
            <w:pPr>
              <w:pStyle w:val="12"/>
              <w:ind w:left="0" w:leftChars="0" w:firstLine="0" w:firstLineChars="0"/>
              <w:jc w:val="center"/>
              <w:rPr>
                <w:rFonts w:hint="eastAsia"/>
                <w:highlight w:val="none"/>
              </w:rPr>
            </w:pPr>
            <w:r>
              <w:rPr>
                <w:rFonts w:hint="eastAsia" w:ascii="宋体" w:hAnsi="宋体" w:eastAsia="宋体" w:cs="Times New Roman"/>
                <w:sz w:val="21"/>
                <w:szCs w:val="21"/>
                <w:highlight w:val="none"/>
                <w:lang w:val="en-US" w:eastAsia="zh-CN"/>
              </w:rPr>
              <w:t>（10分）</w:t>
            </w:r>
          </w:p>
        </w:tc>
        <w:tc>
          <w:tcPr>
            <w:tcW w:w="4723" w:type="dxa"/>
            <w:noWrap w:val="0"/>
            <w:vAlign w:val="center"/>
          </w:tcPr>
          <w:p w14:paraId="5C7918E6">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根据供应商项目团队成员情况，包括但不限于：涵盖项目负责人、搬运管理人员、调度、验收人员、售后人员等组织架构、专业技术人员数量、专业技术能力等进行综合评审（F为分值）：</w:t>
            </w:r>
          </w:p>
          <w:p w14:paraId="553CB71D">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优秀的，得7＜F≤10分；</w:t>
            </w:r>
          </w:p>
          <w:p w14:paraId="6426013F">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良好的，得4＜F≤7分；</w:t>
            </w:r>
          </w:p>
          <w:p w14:paraId="00370758">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一般的，得0＜F≤4分；</w:t>
            </w:r>
          </w:p>
          <w:p w14:paraId="63B0CFAF">
            <w:pPr>
              <w:jc w:val="left"/>
              <w:rPr>
                <w:rFonts w:hint="eastAsia" w:ascii="宋体" w:hAnsi="宋体" w:eastAsia="宋体" w:cs="Times New Roman"/>
                <w:sz w:val="21"/>
                <w:szCs w:val="21"/>
                <w:highlight w:val="none"/>
              </w:rPr>
            </w:pPr>
            <w:r>
              <w:rPr>
                <w:rFonts w:hint="eastAsia" w:ascii="宋体" w:hAnsi="宋体" w:eastAsia="宋体" w:cs="Times New Roman"/>
                <w:sz w:val="21"/>
                <w:szCs w:val="21"/>
                <w:highlight w:val="none"/>
                <w:lang w:val="en-US" w:eastAsia="zh-CN"/>
              </w:rPr>
              <w:t>差的不得分。</w:t>
            </w:r>
          </w:p>
        </w:tc>
      </w:tr>
      <w:tr w14:paraId="7DDD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59" w:type="dxa"/>
            <w:vMerge w:val="restart"/>
            <w:noWrap w:val="0"/>
            <w:vAlign w:val="center"/>
          </w:tcPr>
          <w:p w14:paraId="11043A4E">
            <w:pPr>
              <w:jc w:val="center"/>
              <w:rPr>
                <w:rFonts w:hint="eastAsia"/>
                <w:sz w:val="21"/>
                <w:szCs w:val="21"/>
                <w:highlight w:val="none"/>
              </w:rPr>
            </w:pPr>
            <w:r>
              <w:rPr>
                <w:rFonts w:hint="eastAsia"/>
                <w:sz w:val="21"/>
                <w:szCs w:val="21"/>
                <w:highlight w:val="none"/>
              </w:rPr>
              <w:t>3.3（2）</w:t>
            </w:r>
          </w:p>
        </w:tc>
        <w:tc>
          <w:tcPr>
            <w:tcW w:w="960" w:type="dxa"/>
            <w:vMerge w:val="restart"/>
            <w:noWrap w:val="0"/>
            <w:vAlign w:val="center"/>
          </w:tcPr>
          <w:p w14:paraId="02651B9F">
            <w:pPr>
              <w:jc w:val="center"/>
              <w:rPr>
                <w:rFonts w:hint="eastAsia"/>
                <w:sz w:val="21"/>
                <w:szCs w:val="21"/>
                <w:highlight w:val="none"/>
              </w:rPr>
            </w:pPr>
            <w:r>
              <w:rPr>
                <w:rFonts w:hint="eastAsia"/>
                <w:sz w:val="21"/>
                <w:szCs w:val="21"/>
                <w:highlight w:val="none"/>
              </w:rPr>
              <w:t>技术评分标准</w:t>
            </w:r>
          </w:p>
        </w:tc>
        <w:tc>
          <w:tcPr>
            <w:tcW w:w="2328" w:type="dxa"/>
            <w:noWrap w:val="0"/>
            <w:vAlign w:val="center"/>
          </w:tcPr>
          <w:p w14:paraId="06EB317B">
            <w:pPr>
              <w:jc w:val="center"/>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搬迁实施方案</w:t>
            </w:r>
          </w:p>
          <w:p w14:paraId="7CE410EC">
            <w:pPr>
              <w:jc w:val="center"/>
              <w:rPr>
                <w:rFonts w:hint="eastAsia" w:ascii="宋体" w:hAnsi="宋体" w:eastAsia="宋体" w:cs="Times New Roman"/>
                <w:sz w:val="21"/>
                <w:szCs w:val="21"/>
                <w:highlight w:val="none"/>
              </w:rPr>
            </w:pPr>
            <w:r>
              <w:rPr>
                <w:rFonts w:hint="eastAsia" w:ascii="宋体" w:hAnsi="宋体" w:eastAsia="宋体" w:cs="Times New Roman"/>
                <w:sz w:val="21"/>
                <w:szCs w:val="21"/>
                <w:highlight w:val="none"/>
                <w:lang w:val="en-US" w:eastAsia="zh-CN"/>
              </w:rPr>
              <w:t>（10分）</w:t>
            </w:r>
          </w:p>
        </w:tc>
        <w:tc>
          <w:tcPr>
            <w:tcW w:w="4723" w:type="dxa"/>
            <w:noWrap w:val="0"/>
            <w:vAlign w:val="center"/>
          </w:tcPr>
          <w:p w14:paraId="399D9284">
            <w:pPr>
              <w:jc w:val="left"/>
              <w:rPr>
                <w:rFonts w:hint="default"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根据供应商针对本项目提供的项目实施方案，内容包含但不限于：①具体迁移前规划、搬迁步骤与搬迁环境的确认和防护；②搬迁时间计划安排；③人员组织分工及项目整体协调方案；④项目实施期限保证措施；⑤搬迁过程中出现突发情况的协调方案等进行综合评审（F为分值）；</w:t>
            </w:r>
          </w:p>
          <w:p w14:paraId="22E512AF">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优秀的，得7＜F≤10分；</w:t>
            </w:r>
          </w:p>
          <w:p w14:paraId="42D80E9D">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良好的，得4＜F≤7分；</w:t>
            </w:r>
          </w:p>
          <w:p w14:paraId="2F5ED2BB">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一般的，得0＜F≤4分；</w:t>
            </w:r>
          </w:p>
          <w:p w14:paraId="257A3677">
            <w:pPr>
              <w:jc w:val="left"/>
              <w:rPr>
                <w:rFonts w:hint="eastAsia" w:ascii="宋体" w:hAnsi="宋体" w:eastAsia="宋体" w:cs="Times New Roman"/>
                <w:sz w:val="21"/>
                <w:szCs w:val="21"/>
                <w:highlight w:val="none"/>
              </w:rPr>
            </w:pPr>
            <w:r>
              <w:rPr>
                <w:rFonts w:hint="eastAsia" w:ascii="宋体" w:hAnsi="宋体" w:eastAsia="宋体" w:cs="Times New Roman"/>
                <w:sz w:val="21"/>
                <w:szCs w:val="21"/>
                <w:highlight w:val="none"/>
                <w:lang w:val="en-US" w:eastAsia="zh-CN"/>
              </w:rPr>
              <w:t>差的不得分。</w:t>
            </w:r>
          </w:p>
        </w:tc>
      </w:tr>
      <w:tr w14:paraId="08A0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59" w:type="dxa"/>
            <w:vMerge w:val="continue"/>
            <w:noWrap w:val="0"/>
            <w:vAlign w:val="center"/>
          </w:tcPr>
          <w:p w14:paraId="63C8068F">
            <w:pPr>
              <w:jc w:val="center"/>
              <w:rPr>
                <w:rFonts w:hint="eastAsia"/>
                <w:sz w:val="21"/>
                <w:szCs w:val="21"/>
                <w:highlight w:val="none"/>
              </w:rPr>
            </w:pPr>
          </w:p>
        </w:tc>
        <w:tc>
          <w:tcPr>
            <w:tcW w:w="960" w:type="dxa"/>
            <w:vMerge w:val="continue"/>
            <w:noWrap w:val="0"/>
            <w:vAlign w:val="center"/>
          </w:tcPr>
          <w:p w14:paraId="70F9DDF1">
            <w:pPr>
              <w:jc w:val="center"/>
              <w:rPr>
                <w:rFonts w:hint="eastAsia"/>
                <w:sz w:val="21"/>
                <w:szCs w:val="21"/>
                <w:highlight w:val="none"/>
              </w:rPr>
            </w:pPr>
          </w:p>
        </w:tc>
        <w:tc>
          <w:tcPr>
            <w:tcW w:w="2328" w:type="dxa"/>
            <w:noWrap w:val="0"/>
            <w:vAlign w:val="center"/>
          </w:tcPr>
          <w:p w14:paraId="65F5D624">
            <w:pPr>
              <w:jc w:val="center"/>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拆卸及封装方案</w:t>
            </w:r>
          </w:p>
          <w:p w14:paraId="1BFEB5B7">
            <w:pPr>
              <w:jc w:val="center"/>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（10分）</w:t>
            </w:r>
          </w:p>
        </w:tc>
        <w:tc>
          <w:tcPr>
            <w:tcW w:w="4723" w:type="dxa"/>
            <w:noWrap w:val="0"/>
            <w:vAlign w:val="center"/>
          </w:tcPr>
          <w:p w14:paraId="6F9E6808">
            <w:pPr>
              <w:jc w:val="left"/>
              <w:rPr>
                <w:rFonts w:hint="default"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根据供应商针对本项目提供的拆卸及封装方案，包括但不限于：①搬迁前状态确认及准备；②设备的安装条件说明及保护；③特殊物品的保存及运输要求；④无法正常从搬迁地搬出或搬入的设备提供专业、合理的搬迁措施方案等进行综合评审（F为分值）；</w:t>
            </w:r>
          </w:p>
          <w:p w14:paraId="22158D15">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优秀的，得7＜F≤10分；</w:t>
            </w:r>
          </w:p>
          <w:p w14:paraId="37D97F4C">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良好的，得4＜F≤7分；</w:t>
            </w:r>
          </w:p>
          <w:p w14:paraId="5460CA2C">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一般的，得0＜F≤4分；</w:t>
            </w:r>
          </w:p>
          <w:p w14:paraId="040E927F">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差的不得分。</w:t>
            </w:r>
          </w:p>
        </w:tc>
      </w:tr>
      <w:tr w14:paraId="29DC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59" w:type="dxa"/>
            <w:vMerge w:val="continue"/>
            <w:noWrap w:val="0"/>
            <w:vAlign w:val="center"/>
          </w:tcPr>
          <w:p w14:paraId="25587949">
            <w:pPr>
              <w:jc w:val="center"/>
              <w:rPr>
                <w:rFonts w:hint="eastAsia"/>
                <w:sz w:val="21"/>
                <w:szCs w:val="21"/>
                <w:highlight w:val="none"/>
              </w:rPr>
            </w:pPr>
          </w:p>
        </w:tc>
        <w:tc>
          <w:tcPr>
            <w:tcW w:w="960" w:type="dxa"/>
            <w:vMerge w:val="continue"/>
            <w:noWrap w:val="0"/>
            <w:vAlign w:val="center"/>
          </w:tcPr>
          <w:p w14:paraId="5212D3CB">
            <w:pPr>
              <w:jc w:val="center"/>
              <w:rPr>
                <w:rFonts w:hint="eastAsia"/>
                <w:sz w:val="21"/>
                <w:szCs w:val="21"/>
                <w:highlight w:val="none"/>
              </w:rPr>
            </w:pPr>
          </w:p>
        </w:tc>
        <w:tc>
          <w:tcPr>
            <w:tcW w:w="2328" w:type="dxa"/>
            <w:noWrap w:val="0"/>
            <w:vAlign w:val="center"/>
          </w:tcPr>
          <w:p w14:paraId="6820F117">
            <w:pPr>
              <w:jc w:val="center"/>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运输方案</w:t>
            </w:r>
          </w:p>
          <w:p w14:paraId="5216065C">
            <w:pPr>
              <w:jc w:val="center"/>
              <w:rPr>
                <w:rFonts w:hint="eastAsia" w:ascii="宋体" w:hAnsi="宋体" w:eastAsia="宋体" w:cs="Times New Roman"/>
                <w:sz w:val="21"/>
                <w:szCs w:val="21"/>
                <w:highlight w:val="none"/>
              </w:rPr>
            </w:pPr>
            <w:r>
              <w:rPr>
                <w:rFonts w:hint="eastAsia" w:ascii="宋体" w:hAnsi="宋体" w:eastAsia="宋体" w:cs="Times New Roman"/>
                <w:sz w:val="21"/>
                <w:szCs w:val="21"/>
                <w:highlight w:val="none"/>
                <w:lang w:val="en-US" w:eastAsia="zh-CN"/>
              </w:rPr>
              <w:t>（5分）</w:t>
            </w:r>
          </w:p>
        </w:tc>
        <w:tc>
          <w:tcPr>
            <w:tcW w:w="4723" w:type="dxa"/>
            <w:noWrap w:val="0"/>
            <w:vAlign w:val="center"/>
          </w:tcPr>
          <w:p w14:paraId="3CF37B2C">
            <w:pPr>
              <w:jc w:val="left"/>
              <w:rPr>
                <w:rFonts w:hint="default"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根据供应商针对本项目提供的运输方案，包括但不限于：①拆卸、包装、车辆运输； ②工具配置；③空调设备运输条件准备；④迁移顺序及路线规划等进行综合评审（F为分值）；</w:t>
            </w:r>
          </w:p>
          <w:p w14:paraId="759D07A8">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优秀的，得3＜F≤5分；</w:t>
            </w:r>
          </w:p>
          <w:p w14:paraId="47FBACE3">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良好的，得2＜F≤3分；</w:t>
            </w:r>
          </w:p>
          <w:p w14:paraId="1138701A">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一般的，得0＜F≤2分；</w:t>
            </w:r>
          </w:p>
          <w:p w14:paraId="31510C74">
            <w:pPr>
              <w:jc w:val="left"/>
              <w:rPr>
                <w:rFonts w:hint="eastAsia" w:ascii="宋体" w:hAnsi="宋体" w:eastAsia="宋体" w:cs="Times New Roman"/>
                <w:sz w:val="21"/>
                <w:szCs w:val="21"/>
                <w:highlight w:val="none"/>
              </w:rPr>
            </w:pPr>
            <w:r>
              <w:rPr>
                <w:rFonts w:hint="eastAsia" w:ascii="宋体" w:hAnsi="宋体" w:eastAsia="宋体" w:cs="Times New Roman"/>
                <w:sz w:val="21"/>
                <w:szCs w:val="21"/>
                <w:highlight w:val="none"/>
                <w:lang w:val="en-US" w:eastAsia="zh-CN"/>
              </w:rPr>
              <w:t>差的不得分。</w:t>
            </w:r>
          </w:p>
        </w:tc>
      </w:tr>
      <w:tr w14:paraId="27F7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59" w:type="dxa"/>
            <w:vMerge w:val="continue"/>
            <w:noWrap w:val="0"/>
            <w:vAlign w:val="center"/>
          </w:tcPr>
          <w:p w14:paraId="39ABA317">
            <w:pPr>
              <w:jc w:val="center"/>
              <w:rPr>
                <w:rFonts w:hint="eastAsia"/>
                <w:sz w:val="21"/>
                <w:szCs w:val="21"/>
                <w:highlight w:val="none"/>
              </w:rPr>
            </w:pPr>
          </w:p>
        </w:tc>
        <w:tc>
          <w:tcPr>
            <w:tcW w:w="960" w:type="dxa"/>
            <w:vMerge w:val="continue"/>
            <w:noWrap w:val="0"/>
            <w:vAlign w:val="center"/>
          </w:tcPr>
          <w:p w14:paraId="76BD25F2">
            <w:pPr>
              <w:jc w:val="center"/>
              <w:rPr>
                <w:rFonts w:hint="eastAsia"/>
                <w:sz w:val="21"/>
                <w:szCs w:val="21"/>
                <w:highlight w:val="none"/>
              </w:rPr>
            </w:pPr>
          </w:p>
        </w:tc>
        <w:tc>
          <w:tcPr>
            <w:tcW w:w="2328" w:type="dxa"/>
            <w:noWrap w:val="0"/>
            <w:vAlign w:val="center"/>
          </w:tcPr>
          <w:p w14:paraId="7C40CE0E">
            <w:pPr>
              <w:jc w:val="center"/>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安装调试及验收方案</w:t>
            </w:r>
          </w:p>
          <w:p w14:paraId="2E2FA76D">
            <w:pPr>
              <w:jc w:val="center"/>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（10分）</w:t>
            </w:r>
          </w:p>
        </w:tc>
        <w:tc>
          <w:tcPr>
            <w:tcW w:w="4723" w:type="dxa"/>
            <w:noWrap w:val="0"/>
            <w:vAlign w:val="center"/>
          </w:tcPr>
          <w:p w14:paraId="0C2D52E3">
            <w:pPr>
              <w:jc w:val="left"/>
              <w:rPr>
                <w:rFonts w:hint="default"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根据供应商针对本项目提供的安装调试及验收方案，包括但不限于：①根据空调设备制定具体的安装调试方案；②根据空调设备编制具体的校准及测试方案；③验收方案等进行综合评审（F为分值）；</w:t>
            </w:r>
          </w:p>
          <w:p w14:paraId="24E9652D">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优秀的，得7＜F≤10分；</w:t>
            </w:r>
          </w:p>
          <w:p w14:paraId="37637524">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良好的，得4＜F≤7分；</w:t>
            </w:r>
          </w:p>
          <w:p w14:paraId="5318F291">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一般的，得0＜F≤4分；</w:t>
            </w:r>
          </w:p>
          <w:p w14:paraId="7B2F1BFE">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差的不得分。</w:t>
            </w:r>
          </w:p>
        </w:tc>
      </w:tr>
      <w:tr w14:paraId="0627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59" w:type="dxa"/>
            <w:vMerge w:val="continue"/>
            <w:noWrap w:val="0"/>
            <w:vAlign w:val="center"/>
          </w:tcPr>
          <w:p w14:paraId="193CF93A">
            <w:pPr>
              <w:jc w:val="center"/>
              <w:rPr>
                <w:sz w:val="21"/>
                <w:szCs w:val="21"/>
                <w:highlight w:val="none"/>
              </w:rPr>
            </w:pPr>
          </w:p>
        </w:tc>
        <w:tc>
          <w:tcPr>
            <w:tcW w:w="960" w:type="dxa"/>
            <w:vMerge w:val="continue"/>
            <w:noWrap w:val="0"/>
            <w:vAlign w:val="center"/>
          </w:tcPr>
          <w:p w14:paraId="39F3783B">
            <w:pPr>
              <w:jc w:val="center"/>
              <w:rPr>
                <w:sz w:val="21"/>
                <w:szCs w:val="21"/>
                <w:highlight w:val="none"/>
              </w:rPr>
            </w:pPr>
          </w:p>
        </w:tc>
        <w:tc>
          <w:tcPr>
            <w:tcW w:w="2328" w:type="dxa"/>
            <w:noWrap w:val="0"/>
            <w:vAlign w:val="center"/>
          </w:tcPr>
          <w:p w14:paraId="4005D05B">
            <w:pPr>
              <w:jc w:val="center"/>
              <w:rPr>
                <w:rFonts w:hint="default"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质保承诺</w:t>
            </w:r>
          </w:p>
          <w:p w14:paraId="2E161FAA">
            <w:pPr>
              <w:jc w:val="center"/>
              <w:rPr>
                <w:rFonts w:hint="eastAsia" w:ascii="宋体" w:hAnsi="宋体" w:eastAsia="宋体" w:cs="Times New Roman"/>
                <w:sz w:val="21"/>
                <w:szCs w:val="21"/>
                <w:highlight w:val="none"/>
              </w:rPr>
            </w:pPr>
            <w:r>
              <w:rPr>
                <w:rFonts w:hint="eastAsia" w:ascii="宋体" w:hAnsi="宋体" w:eastAsia="宋体" w:cs="Times New Roman"/>
                <w:sz w:val="21"/>
                <w:szCs w:val="21"/>
                <w:highlight w:val="none"/>
                <w:lang w:val="en-US" w:eastAsia="zh-CN"/>
              </w:rPr>
              <w:t>（5分）</w:t>
            </w:r>
          </w:p>
        </w:tc>
        <w:tc>
          <w:tcPr>
            <w:tcW w:w="4723" w:type="dxa"/>
            <w:noWrap w:val="0"/>
            <w:vAlign w:val="center"/>
          </w:tcPr>
          <w:p w14:paraId="0FE8269E">
            <w:pPr>
              <w:jc w:val="left"/>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供应商</w:t>
            </w:r>
            <w:r>
              <w:rPr>
                <w:rFonts w:hint="default" w:ascii="宋体" w:hAnsi="宋体" w:eastAsia="宋体" w:cs="Times New Roman"/>
                <w:sz w:val="21"/>
                <w:szCs w:val="21"/>
                <w:highlight w:val="none"/>
                <w:lang w:val="en-US" w:eastAsia="zh-CN"/>
              </w:rPr>
              <w:t>承诺在搬运过程中若有</w:t>
            </w:r>
            <w:r>
              <w:rPr>
                <w:rFonts w:hint="eastAsia" w:ascii="宋体" w:hAnsi="宋体" w:eastAsia="宋体" w:cs="Times New Roman"/>
                <w:sz w:val="21"/>
                <w:szCs w:val="21"/>
                <w:highlight w:val="none"/>
                <w:lang w:val="en-US" w:eastAsia="zh-CN"/>
              </w:rPr>
              <w:t>空调设备</w:t>
            </w:r>
            <w:r>
              <w:rPr>
                <w:rFonts w:hint="default" w:ascii="宋体" w:hAnsi="宋体" w:eastAsia="宋体" w:cs="Times New Roman"/>
                <w:sz w:val="21"/>
                <w:szCs w:val="21"/>
                <w:highlight w:val="none"/>
                <w:lang w:val="en-US" w:eastAsia="zh-CN"/>
              </w:rPr>
              <w:t>遗失，由</w:t>
            </w:r>
            <w:r>
              <w:rPr>
                <w:rFonts w:hint="eastAsia" w:ascii="宋体" w:hAnsi="宋体" w:eastAsia="宋体" w:cs="Times New Roman"/>
                <w:sz w:val="21"/>
                <w:szCs w:val="21"/>
                <w:highlight w:val="none"/>
                <w:lang w:val="en-US" w:eastAsia="zh-CN"/>
              </w:rPr>
              <w:t>供应商</w:t>
            </w:r>
            <w:r>
              <w:rPr>
                <w:rFonts w:hint="default" w:ascii="宋体" w:hAnsi="宋体" w:eastAsia="宋体" w:cs="Times New Roman"/>
                <w:sz w:val="21"/>
                <w:szCs w:val="21"/>
                <w:highlight w:val="none"/>
                <w:lang w:val="en-US" w:eastAsia="zh-CN"/>
              </w:rPr>
              <w:t>负责赔偿同品牌、同型号或不低于原有配置</w:t>
            </w:r>
            <w:r>
              <w:rPr>
                <w:rFonts w:hint="eastAsia" w:ascii="宋体" w:hAnsi="宋体" w:eastAsia="宋体" w:cs="Times New Roman"/>
                <w:sz w:val="21"/>
                <w:szCs w:val="21"/>
                <w:highlight w:val="none"/>
                <w:lang w:val="en-US" w:eastAsia="zh-CN"/>
              </w:rPr>
              <w:t>的设备</w:t>
            </w:r>
            <w:r>
              <w:rPr>
                <w:rFonts w:hint="default" w:ascii="宋体" w:hAnsi="宋体" w:eastAsia="宋体" w:cs="Times New Roman"/>
                <w:sz w:val="21"/>
                <w:szCs w:val="21"/>
                <w:highlight w:val="none"/>
                <w:lang w:val="en-US" w:eastAsia="zh-CN"/>
              </w:rPr>
              <w:t>，所有</w:t>
            </w:r>
            <w:r>
              <w:rPr>
                <w:rFonts w:hint="eastAsia" w:ascii="宋体" w:hAnsi="宋体" w:eastAsia="宋体" w:cs="Times New Roman"/>
                <w:sz w:val="21"/>
                <w:szCs w:val="21"/>
                <w:highlight w:val="none"/>
                <w:lang w:val="en-US" w:eastAsia="zh-CN"/>
              </w:rPr>
              <w:t>设备</w:t>
            </w:r>
            <w:r>
              <w:rPr>
                <w:rFonts w:hint="default" w:ascii="宋体" w:hAnsi="宋体" w:eastAsia="宋体" w:cs="Times New Roman"/>
                <w:sz w:val="21"/>
                <w:szCs w:val="21"/>
                <w:highlight w:val="none"/>
                <w:lang w:val="en-US" w:eastAsia="zh-CN"/>
              </w:rPr>
              <w:t>搬运完成后为采购人提供相应</w:t>
            </w:r>
            <w:r>
              <w:rPr>
                <w:rFonts w:hint="eastAsia" w:ascii="宋体" w:hAnsi="宋体" w:eastAsia="宋体" w:cs="Times New Roman"/>
                <w:sz w:val="21"/>
                <w:szCs w:val="21"/>
                <w:highlight w:val="none"/>
                <w:lang w:val="en-US" w:eastAsia="zh-CN"/>
              </w:rPr>
              <w:t>不少于</w:t>
            </w:r>
            <w:r>
              <w:rPr>
                <w:rFonts w:hint="default" w:ascii="宋体" w:hAnsi="宋体" w:eastAsia="宋体" w:cs="Times New Roman"/>
                <w:sz w:val="21"/>
                <w:szCs w:val="21"/>
                <w:highlight w:val="none"/>
                <w:lang w:val="en-US" w:eastAsia="zh-CN"/>
              </w:rPr>
              <w:t>1年质保服务</w:t>
            </w:r>
            <w:r>
              <w:rPr>
                <w:rFonts w:hint="eastAsia" w:ascii="宋体" w:hAnsi="宋体" w:eastAsia="宋体" w:cs="Times New Roman"/>
                <w:sz w:val="21"/>
                <w:szCs w:val="21"/>
                <w:highlight w:val="none"/>
                <w:lang w:val="en-US" w:eastAsia="zh-CN"/>
              </w:rPr>
              <w:t>的，得5分。</w:t>
            </w:r>
          </w:p>
          <w:p w14:paraId="2269167B">
            <w:pPr>
              <w:jc w:val="left"/>
              <w:rPr>
                <w:rFonts w:hint="eastAsia" w:ascii="宋体" w:hAnsi="宋体" w:eastAsia="宋体" w:cs="Times New Roman"/>
                <w:sz w:val="21"/>
                <w:szCs w:val="21"/>
                <w:highlight w:val="none"/>
              </w:rPr>
            </w:pPr>
            <w:r>
              <w:rPr>
                <w:rFonts w:hint="eastAsia" w:ascii="宋体" w:hAnsi="宋体" w:eastAsia="宋体" w:cs="Times New Roman"/>
                <w:b/>
                <w:bCs/>
                <w:sz w:val="21"/>
                <w:szCs w:val="21"/>
                <w:highlight w:val="none"/>
                <w:lang w:val="en-US" w:eastAsia="zh-CN"/>
              </w:rPr>
              <w:t>注：</w:t>
            </w:r>
            <w:r>
              <w:rPr>
                <w:rFonts w:hint="default" w:ascii="宋体" w:hAnsi="宋体" w:eastAsia="宋体" w:cs="Times New Roman"/>
                <w:b/>
                <w:bCs/>
                <w:sz w:val="21"/>
                <w:szCs w:val="21"/>
                <w:highlight w:val="none"/>
                <w:lang w:val="en-US" w:eastAsia="zh-CN"/>
              </w:rPr>
              <w:t>供应商提供</w:t>
            </w:r>
            <w:r>
              <w:rPr>
                <w:rFonts w:hint="eastAsia" w:ascii="宋体" w:hAnsi="宋体" w:eastAsia="宋体" w:cs="Times New Roman"/>
                <w:b/>
                <w:bCs/>
                <w:sz w:val="21"/>
                <w:szCs w:val="21"/>
                <w:highlight w:val="none"/>
                <w:lang w:val="en-US" w:eastAsia="zh-CN"/>
              </w:rPr>
              <w:t>书面</w:t>
            </w:r>
            <w:r>
              <w:rPr>
                <w:rFonts w:hint="default" w:ascii="宋体" w:hAnsi="宋体" w:eastAsia="宋体" w:cs="Times New Roman"/>
                <w:b/>
                <w:bCs/>
                <w:sz w:val="21"/>
                <w:szCs w:val="21"/>
                <w:highlight w:val="none"/>
                <w:lang w:val="en-US" w:eastAsia="zh-CN"/>
              </w:rPr>
              <w:t>承诺函</w:t>
            </w:r>
            <w:r>
              <w:rPr>
                <w:rFonts w:hint="eastAsia" w:ascii="宋体" w:hAnsi="宋体" w:eastAsia="宋体" w:cs="Times New Roman"/>
                <w:b/>
                <w:bCs/>
                <w:sz w:val="21"/>
                <w:szCs w:val="21"/>
                <w:highlight w:val="none"/>
                <w:lang w:val="en-US" w:eastAsia="zh-CN"/>
              </w:rPr>
              <w:t>，</w:t>
            </w:r>
            <w:r>
              <w:rPr>
                <w:rFonts w:hint="default" w:ascii="宋体" w:hAnsi="宋体" w:eastAsia="宋体" w:cs="Times New Roman"/>
                <w:b/>
                <w:bCs/>
                <w:sz w:val="21"/>
                <w:szCs w:val="21"/>
                <w:highlight w:val="none"/>
                <w:lang w:val="en-US" w:eastAsia="zh-CN"/>
              </w:rPr>
              <w:t>承诺函须包含上述内容</w:t>
            </w:r>
            <w:r>
              <w:rPr>
                <w:rFonts w:hint="eastAsia" w:ascii="宋体" w:hAnsi="宋体" w:eastAsia="宋体" w:cs="Times New Roman"/>
                <w:b/>
                <w:bCs/>
                <w:sz w:val="21"/>
                <w:szCs w:val="21"/>
                <w:highlight w:val="none"/>
                <w:lang w:val="en-US" w:eastAsia="zh-CN"/>
              </w:rPr>
              <w:t>（格式自拟）</w:t>
            </w:r>
            <w:r>
              <w:rPr>
                <w:rFonts w:hint="default" w:ascii="宋体" w:hAnsi="宋体" w:eastAsia="宋体" w:cs="Times New Roman"/>
                <w:b/>
                <w:bCs/>
                <w:sz w:val="21"/>
                <w:szCs w:val="21"/>
                <w:highlight w:val="none"/>
                <w:lang w:val="en-US" w:eastAsia="zh-CN"/>
              </w:rPr>
              <w:t>，不提供不得分。</w:t>
            </w:r>
          </w:p>
        </w:tc>
      </w:tr>
      <w:tr w14:paraId="7C39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59" w:type="dxa"/>
            <w:noWrap w:val="0"/>
            <w:vAlign w:val="center"/>
          </w:tcPr>
          <w:p w14:paraId="0A4C4B76">
            <w:pPr>
              <w:jc w:val="center"/>
              <w:rPr>
                <w:sz w:val="21"/>
                <w:szCs w:val="21"/>
                <w:highlight w:val="none"/>
              </w:rPr>
            </w:pPr>
            <w:r>
              <w:rPr>
                <w:rFonts w:hint="eastAsia"/>
                <w:sz w:val="21"/>
                <w:szCs w:val="21"/>
                <w:highlight w:val="none"/>
              </w:rPr>
              <w:t>3.3（3）</w:t>
            </w:r>
          </w:p>
        </w:tc>
        <w:tc>
          <w:tcPr>
            <w:tcW w:w="960" w:type="dxa"/>
            <w:noWrap w:val="0"/>
            <w:vAlign w:val="center"/>
          </w:tcPr>
          <w:p w14:paraId="42823023">
            <w:pPr>
              <w:jc w:val="center"/>
              <w:rPr>
                <w:rFonts w:hint="eastAsia"/>
                <w:sz w:val="21"/>
                <w:szCs w:val="21"/>
                <w:highlight w:val="none"/>
              </w:rPr>
            </w:pPr>
            <w:r>
              <w:rPr>
                <w:rFonts w:hint="eastAsia"/>
                <w:sz w:val="21"/>
                <w:szCs w:val="21"/>
                <w:highlight w:val="none"/>
              </w:rPr>
              <w:t>报价评分标准</w:t>
            </w:r>
          </w:p>
        </w:tc>
        <w:tc>
          <w:tcPr>
            <w:tcW w:w="7051" w:type="dxa"/>
            <w:gridSpan w:val="2"/>
            <w:noWrap w:val="0"/>
            <w:vAlign w:val="center"/>
          </w:tcPr>
          <w:p w14:paraId="2045C8D0">
            <w:pPr>
              <w:jc w:val="left"/>
              <w:rPr>
                <w:rFonts w:hint="eastAsia" w:ascii="宋体" w:hAnsi="宋体" w:eastAsia="宋体" w:cs="Times New Roman"/>
                <w:b w:val="0"/>
                <w:bCs w:val="0"/>
                <w:sz w:val="21"/>
                <w:szCs w:val="21"/>
                <w:highlight w:val="none"/>
              </w:rPr>
            </w:pPr>
            <w:r>
              <w:rPr>
                <w:rFonts w:hint="eastAsia" w:ascii="宋体" w:hAnsi="宋体" w:eastAsia="宋体" w:cs="Times New Roman"/>
                <w:b w:val="0"/>
                <w:bCs w:val="0"/>
                <w:sz w:val="21"/>
                <w:szCs w:val="21"/>
                <w:highlight w:val="none"/>
              </w:rPr>
              <w:t>（1）有效</w:t>
            </w:r>
            <w:r>
              <w:rPr>
                <w:rFonts w:hint="eastAsia" w:ascii="宋体" w:hAnsi="宋体" w:eastAsia="宋体" w:cs="Times New Roman"/>
                <w:b w:val="0"/>
                <w:bCs w:val="0"/>
                <w:sz w:val="21"/>
                <w:szCs w:val="21"/>
                <w:highlight w:val="none"/>
                <w:lang w:val="en-US" w:eastAsia="zh-CN"/>
              </w:rPr>
              <w:t>响应</w:t>
            </w:r>
            <w:r>
              <w:rPr>
                <w:rFonts w:hint="eastAsia" w:ascii="宋体" w:hAnsi="宋体" w:eastAsia="宋体" w:cs="Times New Roman"/>
                <w:b w:val="0"/>
                <w:bCs w:val="0"/>
                <w:sz w:val="21"/>
                <w:szCs w:val="21"/>
                <w:highlight w:val="none"/>
              </w:rPr>
              <w:t>报价等于评</w:t>
            </w:r>
            <w:r>
              <w:rPr>
                <w:rFonts w:hint="eastAsia" w:ascii="宋体" w:hAnsi="宋体" w:eastAsia="宋体" w:cs="Times New Roman"/>
                <w:b w:val="0"/>
                <w:bCs w:val="0"/>
                <w:sz w:val="21"/>
                <w:szCs w:val="21"/>
                <w:highlight w:val="none"/>
                <w:lang w:val="en-US" w:eastAsia="zh-CN"/>
              </w:rPr>
              <w:t>审</w:t>
            </w:r>
            <w:r>
              <w:rPr>
                <w:rFonts w:hint="eastAsia" w:ascii="宋体" w:hAnsi="宋体" w:eastAsia="宋体" w:cs="Times New Roman"/>
                <w:b w:val="0"/>
                <w:bCs w:val="0"/>
                <w:sz w:val="21"/>
                <w:szCs w:val="21"/>
                <w:highlight w:val="none"/>
              </w:rPr>
              <w:t>基准价的得满分</w:t>
            </w:r>
            <w:r>
              <w:rPr>
                <w:rFonts w:hint="eastAsia" w:ascii="宋体" w:hAnsi="宋体" w:eastAsia="宋体" w:cs="Times New Roman"/>
                <w:b w:val="0"/>
                <w:bCs w:val="0"/>
                <w:sz w:val="21"/>
                <w:szCs w:val="21"/>
                <w:highlight w:val="none"/>
                <w:lang w:val="en-US" w:eastAsia="zh-CN"/>
              </w:rPr>
              <w:t>30</w:t>
            </w:r>
            <w:r>
              <w:rPr>
                <w:rFonts w:hint="eastAsia" w:ascii="宋体" w:hAnsi="宋体" w:eastAsia="宋体" w:cs="Times New Roman"/>
                <w:b w:val="0"/>
                <w:bCs w:val="0"/>
                <w:sz w:val="21"/>
                <w:szCs w:val="21"/>
                <w:highlight w:val="none"/>
              </w:rPr>
              <w:t>分；</w:t>
            </w:r>
          </w:p>
          <w:p w14:paraId="31A29D73">
            <w:pPr>
              <w:jc w:val="left"/>
              <w:rPr>
                <w:rFonts w:hint="eastAsia" w:ascii="宋体" w:hAnsi="宋体" w:eastAsia="宋体" w:cs="Times New Roman"/>
                <w:b w:val="0"/>
                <w:bCs w:val="0"/>
                <w:sz w:val="21"/>
                <w:szCs w:val="21"/>
                <w:highlight w:val="none"/>
              </w:rPr>
            </w:pPr>
            <w:r>
              <w:rPr>
                <w:rFonts w:hint="eastAsia" w:ascii="宋体" w:hAnsi="宋体" w:eastAsia="宋体" w:cs="Times New Roman"/>
                <w:b w:val="0"/>
                <w:bCs w:val="0"/>
                <w:sz w:val="21"/>
                <w:szCs w:val="21"/>
                <w:highlight w:val="none"/>
              </w:rPr>
              <w:t>（2）有效</w:t>
            </w:r>
            <w:r>
              <w:rPr>
                <w:rFonts w:hint="eastAsia" w:ascii="宋体" w:hAnsi="宋体" w:eastAsia="宋体" w:cs="Times New Roman"/>
                <w:b w:val="0"/>
                <w:bCs w:val="0"/>
                <w:sz w:val="21"/>
                <w:szCs w:val="21"/>
                <w:highlight w:val="none"/>
                <w:lang w:val="en-US" w:eastAsia="zh-CN"/>
              </w:rPr>
              <w:t>响应</w:t>
            </w:r>
            <w:r>
              <w:rPr>
                <w:rFonts w:hint="eastAsia" w:ascii="宋体" w:hAnsi="宋体" w:eastAsia="宋体" w:cs="Times New Roman"/>
                <w:b w:val="0"/>
                <w:bCs w:val="0"/>
                <w:sz w:val="21"/>
                <w:szCs w:val="21"/>
                <w:highlight w:val="none"/>
              </w:rPr>
              <w:t>报价比评</w:t>
            </w:r>
            <w:r>
              <w:rPr>
                <w:rFonts w:hint="eastAsia" w:ascii="宋体" w:hAnsi="宋体" w:eastAsia="宋体" w:cs="Times New Roman"/>
                <w:b w:val="0"/>
                <w:bCs w:val="0"/>
                <w:sz w:val="21"/>
                <w:szCs w:val="21"/>
                <w:highlight w:val="none"/>
                <w:lang w:val="en-US" w:eastAsia="zh-CN"/>
              </w:rPr>
              <w:t>审</w:t>
            </w:r>
            <w:r>
              <w:rPr>
                <w:rFonts w:hint="eastAsia" w:ascii="宋体" w:hAnsi="宋体" w:eastAsia="宋体" w:cs="Times New Roman"/>
                <w:b w:val="0"/>
                <w:bCs w:val="0"/>
                <w:sz w:val="21"/>
                <w:szCs w:val="21"/>
                <w:highlight w:val="none"/>
              </w:rPr>
              <w:t>基准价每高1%扣减0.</w:t>
            </w:r>
            <w:r>
              <w:rPr>
                <w:rFonts w:hint="eastAsia" w:ascii="宋体" w:hAnsi="宋体" w:eastAsia="宋体" w:cs="Times New Roman"/>
                <w:b w:val="0"/>
                <w:bCs w:val="0"/>
                <w:sz w:val="21"/>
                <w:szCs w:val="21"/>
                <w:highlight w:val="none"/>
                <w:lang w:val="en-US" w:eastAsia="zh-CN"/>
              </w:rPr>
              <w:t>5</w:t>
            </w:r>
            <w:r>
              <w:rPr>
                <w:rFonts w:hint="eastAsia" w:ascii="宋体" w:hAnsi="宋体" w:eastAsia="宋体" w:cs="Times New Roman"/>
                <w:b w:val="0"/>
                <w:bCs w:val="0"/>
                <w:sz w:val="21"/>
                <w:szCs w:val="21"/>
                <w:highlight w:val="none"/>
              </w:rPr>
              <w:t>分，不足1%的按直线插入法等比例计算得分，扣完为止；</w:t>
            </w:r>
          </w:p>
          <w:p w14:paraId="0B881206">
            <w:pPr>
              <w:jc w:val="left"/>
              <w:rPr>
                <w:rFonts w:hint="eastAsia" w:ascii="宋体" w:hAnsi="宋体" w:eastAsia="宋体" w:cs="Times New Roman"/>
                <w:b w:val="0"/>
                <w:bCs w:val="0"/>
                <w:sz w:val="21"/>
                <w:szCs w:val="21"/>
                <w:highlight w:val="none"/>
                <w:lang w:eastAsia="zh-CN"/>
              </w:rPr>
            </w:pPr>
            <w:r>
              <w:rPr>
                <w:rFonts w:hint="eastAsia" w:ascii="宋体" w:hAnsi="宋体" w:eastAsia="宋体" w:cs="Times New Roman"/>
                <w:b w:val="0"/>
                <w:bCs w:val="0"/>
                <w:sz w:val="21"/>
                <w:szCs w:val="21"/>
                <w:highlight w:val="none"/>
              </w:rPr>
              <w:t>即：报价得分＝</w:t>
            </w:r>
            <w:r>
              <w:rPr>
                <w:rFonts w:hint="eastAsia" w:ascii="宋体" w:hAnsi="宋体" w:eastAsia="宋体" w:cs="Times New Roman"/>
                <w:b w:val="0"/>
                <w:bCs w:val="0"/>
                <w:sz w:val="21"/>
                <w:szCs w:val="21"/>
                <w:highlight w:val="none"/>
                <w:lang w:val="en-US" w:eastAsia="zh-CN"/>
              </w:rPr>
              <w:t>30</w:t>
            </w:r>
            <w:r>
              <w:rPr>
                <w:rFonts w:hint="eastAsia" w:ascii="宋体" w:hAnsi="宋体" w:eastAsia="宋体" w:cs="Times New Roman"/>
                <w:b w:val="0"/>
                <w:bCs w:val="0"/>
                <w:sz w:val="21"/>
                <w:szCs w:val="21"/>
                <w:highlight w:val="none"/>
              </w:rPr>
              <w:t>-偏差率×100×0.</w:t>
            </w:r>
            <w:r>
              <w:rPr>
                <w:rFonts w:hint="eastAsia" w:ascii="宋体" w:hAnsi="宋体" w:eastAsia="宋体" w:cs="Times New Roman"/>
                <w:b w:val="0"/>
                <w:bCs w:val="0"/>
                <w:sz w:val="21"/>
                <w:szCs w:val="21"/>
                <w:highlight w:val="none"/>
                <w:lang w:val="en-US" w:eastAsia="zh-CN"/>
              </w:rPr>
              <w:t>5；</w:t>
            </w:r>
          </w:p>
          <w:p w14:paraId="3B0AF713">
            <w:pPr>
              <w:jc w:val="left"/>
              <w:rPr>
                <w:rFonts w:hint="eastAsia" w:ascii="宋体" w:hAnsi="宋体" w:eastAsia="宋体" w:cs="Times New Roman"/>
                <w:b w:val="0"/>
                <w:bCs w:val="0"/>
                <w:sz w:val="21"/>
                <w:szCs w:val="21"/>
                <w:highlight w:val="none"/>
              </w:rPr>
            </w:pPr>
            <w:r>
              <w:rPr>
                <w:rFonts w:hint="eastAsia" w:ascii="宋体" w:hAnsi="宋体" w:eastAsia="宋体" w:cs="Times New Roman"/>
                <w:b w:val="0"/>
                <w:bCs w:val="0"/>
                <w:sz w:val="21"/>
                <w:szCs w:val="21"/>
                <w:highlight w:val="none"/>
              </w:rPr>
              <w:t>（3）有效</w:t>
            </w:r>
            <w:r>
              <w:rPr>
                <w:rFonts w:hint="eastAsia" w:ascii="宋体" w:hAnsi="宋体" w:eastAsia="宋体" w:cs="Times New Roman"/>
                <w:b w:val="0"/>
                <w:bCs w:val="0"/>
                <w:sz w:val="21"/>
                <w:szCs w:val="21"/>
                <w:highlight w:val="none"/>
                <w:lang w:val="en-US" w:eastAsia="zh-CN"/>
              </w:rPr>
              <w:t>响应</w:t>
            </w:r>
            <w:r>
              <w:rPr>
                <w:rFonts w:hint="eastAsia" w:ascii="宋体" w:hAnsi="宋体" w:eastAsia="宋体" w:cs="Times New Roman"/>
                <w:b w:val="0"/>
                <w:bCs w:val="0"/>
                <w:sz w:val="21"/>
                <w:szCs w:val="21"/>
                <w:highlight w:val="none"/>
              </w:rPr>
              <w:t>报价比评</w:t>
            </w:r>
            <w:r>
              <w:rPr>
                <w:rFonts w:hint="eastAsia" w:ascii="宋体" w:hAnsi="宋体" w:eastAsia="宋体" w:cs="Times New Roman"/>
                <w:b w:val="0"/>
                <w:bCs w:val="0"/>
                <w:sz w:val="21"/>
                <w:szCs w:val="21"/>
                <w:highlight w:val="none"/>
                <w:lang w:val="en-US" w:eastAsia="zh-CN"/>
              </w:rPr>
              <w:t>审</w:t>
            </w:r>
            <w:r>
              <w:rPr>
                <w:rFonts w:hint="eastAsia" w:ascii="宋体" w:hAnsi="宋体" w:eastAsia="宋体" w:cs="Times New Roman"/>
                <w:b w:val="0"/>
                <w:bCs w:val="0"/>
                <w:sz w:val="21"/>
                <w:szCs w:val="21"/>
                <w:highlight w:val="none"/>
              </w:rPr>
              <w:t>基准价每低1%扣减0.</w:t>
            </w:r>
            <w:r>
              <w:rPr>
                <w:rFonts w:hint="eastAsia" w:ascii="宋体" w:hAnsi="宋体" w:eastAsia="宋体" w:cs="Times New Roman"/>
                <w:b w:val="0"/>
                <w:bCs w:val="0"/>
                <w:sz w:val="21"/>
                <w:szCs w:val="21"/>
                <w:highlight w:val="none"/>
                <w:lang w:val="en-US" w:eastAsia="zh-CN"/>
              </w:rPr>
              <w:t>3</w:t>
            </w:r>
            <w:r>
              <w:rPr>
                <w:rFonts w:hint="eastAsia" w:ascii="宋体" w:hAnsi="宋体" w:eastAsia="宋体" w:cs="Times New Roman"/>
                <w:b w:val="0"/>
                <w:bCs w:val="0"/>
                <w:sz w:val="21"/>
                <w:szCs w:val="21"/>
                <w:highlight w:val="none"/>
              </w:rPr>
              <w:t>分，不足1%的按直线插入法等比例计算得分，扣完为止；</w:t>
            </w:r>
          </w:p>
          <w:p w14:paraId="12D29EC3">
            <w:pPr>
              <w:jc w:val="left"/>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rPr>
              <w:t>即：报价得分＝</w:t>
            </w:r>
            <w:r>
              <w:rPr>
                <w:rFonts w:hint="eastAsia" w:ascii="宋体" w:hAnsi="宋体" w:eastAsia="宋体" w:cs="Times New Roman"/>
                <w:b w:val="0"/>
                <w:bCs w:val="0"/>
                <w:sz w:val="21"/>
                <w:szCs w:val="21"/>
                <w:highlight w:val="none"/>
                <w:lang w:val="en-US" w:eastAsia="zh-CN"/>
              </w:rPr>
              <w:t>30</w:t>
            </w:r>
            <w:r>
              <w:rPr>
                <w:rFonts w:hint="eastAsia" w:ascii="宋体" w:hAnsi="宋体" w:eastAsia="宋体" w:cs="Times New Roman"/>
                <w:b w:val="0"/>
                <w:bCs w:val="0"/>
                <w:sz w:val="21"/>
                <w:szCs w:val="21"/>
                <w:highlight w:val="none"/>
              </w:rPr>
              <w:t>+偏差率×100×0</w:t>
            </w:r>
            <w:r>
              <w:rPr>
                <w:rFonts w:hint="eastAsia" w:ascii="宋体" w:hAnsi="宋体" w:eastAsia="宋体" w:cs="Times New Roman"/>
                <w:b w:val="0"/>
                <w:bCs w:val="0"/>
                <w:sz w:val="21"/>
                <w:szCs w:val="21"/>
                <w:highlight w:val="none"/>
                <w:lang w:val="en-US" w:eastAsia="zh-CN"/>
              </w:rPr>
              <w:t>.3；</w:t>
            </w:r>
          </w:p>
          <w:p w14:paraId="4DD59A9C">
            <w:pPr>
              <w:jc w:val="left"/>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得分保留小数点后两位。</w:t>
            </w:r>
          </w:p>
          <w:p w14:paraId="1A9296C8">
            <w:pPr>
              <w:jc w:val="left"/>
              <w:rPr>
                <w:sz w:val="21"/>
                <w:szCs w:val="21"/>
                <w:highlight w:val="none"/>
              </w:rPr>
            </w:pPr>
            <w:r>
              <w:rPr>
                <w:rFonts w:hint="eastAsia" w:ascii="宋体" w:hAnsi="宋体" w:eastAsia="宋体" w:cs="Times New Roman"/>
                <w:b/>
                <w:bCs/>
                <w:sz w:val="21"/>
                <w:szCs w:val="21"/>
                <w:highlight w:val="none"/>
              </w:rPr>
              <w:t>（明显低于其他响应报价，使得其响应报价可能低于其个别成本的，应当要求该供应商作出书面说明并提供相关证明材料。供应商不能合理说明或者不能提供相关证明材料的，由评审小组认定该供应商以低于成本报价竞标，其响应文件将被否决</w:t>
            </w:r>
            <w:r>
              <w:rPr>
                <w:rFonts w:hint="eastAsia" w:ascii="宋体" w:hAnsi="宋体" w:eastAsia="宋体" w:cs="Times New Roman"/>
                <w:b/>
                <w:bCs/>
                <w:sz w:val="21"/>
                <w:szCs w:val="21"/>
                <w:highlight w:val="none"/>
                <w:lang w:eastAsia="zh-CN"/>
              </w:rPr>
              <w:t>）</w:t>
            </w:r>
          </w:p>
        </w:tc>
      </w:tr>
      <w:tr w14:paraId="4C655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19" w:type="dxa"/>
            <w:gridSpan w:val="2"/>
            <w:noWrap w:val="0"/>
            <w:vAlign w:val="center"/>
          </w:tcPr>
          <w:p w14:paraId="00816C7B">
            <w:pPr>
              <w:jc w:val="center"/>
              <w:rPr>
                <w:b/>
                <w:bCs/>
                <w:sz w:val="21"/>
                <w:szCs w:val="21"/>
                <w:highlight w:val="none"/>
              </w:rPr>
            </w:pPr>
            <w:r>
              <w:rPr>
                <w:rFonts w:hint="eastAsia"/>
                <w:b/>
                <w:bCs/>
                <w:sz w:val="21"/>
                <w:szCs w:val="21"/>
                <w:highlight w:val="none"/>
              </w:rPr>
              <w:t>条款号</w:t>
            </w:r>
          </w:p>
        </w:tc>
        <w:tc>
          <w:tcPr>
            <w:tcW w:w="2328" w:type="dxa"/>
            <w:noWrap w:val="0"/>
            <w:vAlign w:val="center"/>
          </w:tcPr>
          <w:p w14:paraId="68B089C5">
            <w:pPr>
              <w:jc w:val="center"/>
              <w:rPr>
                <w:b/>
                <w:bCs/>
                <w:sz w:val="21"/>
                <w:szCs w:val="21"/>
                <w:highlight w:val="none"/>
              </w:rPr>
            </w:pPr>
            <w:r>
              <w:rPr>
                <w:rFonts w:hint="eastAsia"/>
                <w:b/>
                <w:bCs/>
                <w:sz w:val="21"/>
                <w:szCs w:val="21"/>
                <w:highlight w:val="none"/>
              </w:rPr>
              <w:t>条款内容</w:t>
            </w:r>
          </w:p>
        </w:tc>
        <w:tc>
          <w:tcPr>
            <w:tcW w:w="4723" w:type="dxa"/>
            <w:noWrap w:val="0"/>
            <w:vAlign w:val="center"/>
          </w:tcPr>
          <w:p w14:paraId="198F90E7">
            <w:pPr>
              <w:jc w:val="center"/>
              <w:rPr>
                <w:b/>
                <w:bCs/>
                <w:sz w:val="21"/>
                <w:szCs w:val="21"/>
                <w:highlight w:val="none"/>
              </w:rPr>
            </w:pPr>
            <w:r>
              <w:rPr>
                <w:rFonts w:hint="eastAsia"/>
                <w:b/>
                <w:bCs/>
                <w:sz w:val="21"/>
                <w:szCs w:val="21"/>
                <w:highlight w:val="none"/>
              </w:rPr>
              <w:t>编列内容</w:t>
            </w:r>
          </w:p>
        </w:tc>
      </w:tr>
      <w:tr w14:paraId="19A9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19" w:type="dxa"/>
            <w:gridSpan w:val="2"/>
            <w:noWrap w:val="0"/>
            <w:vAlign w:val="center"/>
          </w:tcPr>
          <w:p w14:paraId="01F7D3B0">
            <w:pPr>
              <w:jc w:val="center"/>
              <w:rPr>
                <w:sz w:val="21"/>
                <w:szCs w:val="21"/>
                <w:highlight w:val="none"/>
              </w:rPr>
            </w:pPr>
            <w:r>
              <w:rPr>
                <w:sz w:val="21"/>
                <w:szCs w:val="21"/>
                <w:highlight w:val="none"/>
              </w:rPr>
              <w:t>3.6</w:t>
            </w:r>
          </w:p>
        </w:tc>
        <w:tc>
          <w:tcPr>
            <w:tcW w:w="2328" w:type="dxa"/>
            <w:noWrap w:val="0"/>
            <w:vAlign w:val="center"/>
          </w:tcPr>
          <w:p w14:paraId="1D3095CA">
            <w:pPr>
              <w:jc w:val="center"/>
              <w:rPr>
                <w:sz w:val="21"/>
                <w:szCs w:val="21"/>
                <w:highlight w:val="none"/>
              </w:rPr>
            </w:pPr>
            <w:r>
              <w:rPr>
                <w:rFonts w:hint="eastAsia"/>
                <w:sz w:val="21"/>
                <w:szCs w:val="21"/>
                <w:highlight w:val="none"/>
              </w:rPr>
              <w:t>供应商并列时确定供应商优先顺序的规则</w:t>
            </w:r>
          </w:p>
        </w:tc>
        <w:tc>
          <w:tcPr>
            <w:tcW w:w="4723" w:type="dxa"/>
            <w:noWrap w:val="0"/>
            <w:vAlign w:val="center"/>
          </w:tcPr>
          <w:p w14:paraId="75199A06">
            <w:pPr>
              <w:rPr>
                <w:rFonts w:hint="eastAsia"/>
                <w:sz w:val="21"/>
                <w:szCs w:val="21"/>
                <w:highlight w:val="none"/>
              </w:rPr>
            </w:pPr>
            <w:r>
              <w:rPr>
                <w:sz w:val="21"/>
                <w:szCs w:val="21"/>
                <w:highlight w:val="none"/>
              </w:rPr>
              <w:sym w:font="H2O" w:char="0052"/>
            </w:r>
            <w:r>
              <w:rPr>
                <w:rFonts w:hint="eastAsia"/>
                <w:sz w:val="21"/>
                <w:szCs w:val="21"/>
                <w:highlight w:val="none"/>
              </w:rPr>
              <w:t>由评审小组投票决定</w:t>
            </w:r>
          </w:p>
          <w:p w14:paraId="31F6E812">
            <w:pPr>
              <w:rPr>
                <w:sz w:val="21"/>
                <w:szCs w:val="21"/>
                <w:highlight w:val="none"/>
              </w:rPr>
            </w:pPr>
            <w:r>
              <w:rPr>
                <w:sz w:val="21"/>
                <w:szCs w:val="21"/>
                <w:highlight w:val="none"/>
              </w:rPr>
              <w:sym w:font="H2O" w:char="00A3"/>
            </w:r>
            <w:r>
              <w:rPr>
                <w:rFonts w:hint="eastAsia"/>
                <w:sz w:val="21"/>
                <w:szCs w:val="21"/>
                <w:highlight w:val="none"/>
              </w:rPr>
              <w:t>由评审小组抽签决定</w:t>
            </w:r>
          </w:p>
          <w:p w14:paraId="37C98704">
            <w:pPr>
              <w:rPr>
                <w:sz w:val="21"/>
                <w:szCs w:val="21"/>
                <w:highlight w:val="none"/>
              </w:rPr>
            </w:pPr>
            <w:r>
              <w:rPr>
                <w:sz w:val="21"/>
                <w:szCs w:val="21"/>
                <w:highlight w:val="none"/>
              </w:rPr>
              <w:sym w:font="H2O" w:char="00A3"/>
            </w:r>
            <w:r>
              <w:rPr>
                <w:rFonts w:hint="eastAsia"/>
                <w:sz w:val="21"/>
                <w:szCs w:val="21"/>
                <w:highlight w:val="none"/>
              </w:rPr>
              <w:t>其他方法：</w:t>
            </w:r>
            <w:r>
              <w:rPr>
                <w:rFonts w:hint="eastAsia"/>
                <w:sz w:val="21"/>
                <w:szCs w:val="21"/>
                <w:highlight w:val="none"/>
                <w:u w:val="single"/>
              </w:rPr>
              <w:t xml:space="preserve">       </w:t>
            </w:r>
          </w:p>
        </w:tc>
      </w:tr>
    </w:tbl>
    <w:p w14:paraId="2E022CB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Times New Roman"/>
          <w:highlight w:val="none"/>
          <w:lang w:val="en-US" w:eastAsia="zh-CN"/>
        </w:rPr>
      </w:pPr>
      <w:r>
        <w:rPr>
          <w:rFonts w:hint="default" w:ascii="仿宋" w:hAnsi="仿宋" w:eastAsia="仿宋" w:cs="Times New Roman"/>
          <w:highlight w:val="none"/>
          <w:lang w:val="en-US" w:eastAsia="zh-CN"/>
        </w:rPr>
        <w:t>评审小组对满足采购文件实质性要求的响应文件，按照详细评审标准和程序（综合评</w:t>
      </w:r>
      <w:r>
        <w:rPr>
          <w:rFonts w:hint="eastAsia" w:ascii="仿宋" w:hAnsi="仿宋" w:eastAsia="仿宋" w:cs="Times New Roman"/>
          <w:highlight w:val="none"/>
          <w:lang w:val="en-US" w:eastAsia="zh-CN"/>
        </w:rPr>
        <w:t>分</w:t>
      </w:r>
      <w:r>
        <w:rPr>
          <w:rFonts w:hint="default" w:ascii="仿宋" w:hAnsi="仿宋" w:eastAsia="仿宋" w:cs="Times New Roman"/>
          <w:highlight w:val="none"/>
          <w:lang w:val="en-US" w:eastAsia="zh-CN"/>
        </w:rPr>
        <w:t>法）规定的评分标准进行打分，并按得分由高到低的顺序推荐候选成交供应商。</w:t>
      </w:r>
    </w:p>
    <w:p w14:paraId="7D0D905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default" w:ascii="仿宋" w:hAnsi="仿宋" w:eastAsia="仿宋" w:cs="Times New Roman"/>
          <w:highlight w:val="none"/>
          <w:lang w:val="en-US" w:eastAsia="zh-CN"/>
        </w:rPr>
        <w:t>最终得分相等时，以评审价格低的优先；评审价格也相等的，以技术得分高的优先；如果技术得分也相等，</w:t>
      </w:r>
      <w:r>
        <w:rPr>
          <w:rFonts w:hint="eastAsia" w:ascii="仿宋" w:hAnsi="仿宋" w:eastAsia="仿宋" w:cs="Times New Roman"/>
          <w:highlight w:val="none"/>
          <w:lang w:val="en-US" w:eastAsia="zh-CN"/>
        </w:rPr>
        <w:t>由采购人抽签决定。</w:t>
      </w:r>
    </w:p>
    <w:p w14:paraId="042C4F3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lang w:val="en-US" w:eastAsia="zh-CN"/>
        </w:rPr>
      </w:pPr>
      <w:r>
        <w:rPr>
          <w:rFonts w:hint="eastAsia" w:ascii="仿宋" w:hAnsi="仿宋" w:eastAsia="仿宋" w:cs="Times New Roman"/>
          <w:highlight w:val="none"/>
          <w:lang w:val="en-US" w:eastAsia="zh-CN"/>
        </w:rPr>
        <w:t>经评审后有效供应商不足三家的，采购人可采用谈判采购方式（适用于两家供应商的情形）或直接采购方式（适用于一家供应商的情形）继续评审并确定成交供应商，或重新组织公开采购。</w:t>
      </w:r>
    </w:p>
    <w:p w14:paraId="7F746E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b/>
          <w:bCs/>
          <w:highlight w:val="none"/>
        </w:rPr>
      </w:pPr>
      <w:r>
        <w:rPr>
          <w:rFonts w:ascii="仿宋" w:hAnsi="仿宋" w:eastAsia="仿宋" w:cs="Times New Roman"/>
          <w:b/>
          <w:bCs/>
          <w:highlight w:val="none"/>
        </w:rPr>
        <w:t>二、</w:t>
      </w:r>
      <w:r>
        <w:rPr>
          <w:rFonts w:hint="eastAsia" w:ascii="仿宋" w:hAnsi="仿宋" w:eastAsia="仿宋" w:cs="Times New Roman"/>
          <w:b/>
          <w:bCs/>
          <w:highlight w:val="none"/>
        </w:rPr>
        <w:t>供应商</w:t>
      </w:r>
      <w:r>
        <w:rPr>
          <w:rFonts w:ascii="仿宋" w:hAnsi="仿宋" w:eastAsia="仿宋" w:cs="Times New Roman"/>
          <w:b/>
          <w:bCs/>
          <w:highlight w:val="none"/>
        </w:rPr>
        <w:t>资格要求</w:t>
      </w:r>
    </w:p>
    <w:p w14:paraId="25EEBD6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1、具备独立法人资格，持有合法有效的营业执照。</w:t>
      </w:r>
    </w:p>
    <w:p w14:paraId="524398C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2、具有独立承担民事责任和履行合同的能力。</w:t>
      </w:r>
    </w:p>
    <w:p w14:paraId="32A210F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3、具有良好的资信，在经营中</w:t>
      </w:r>
      <w:r>
        <w:rPr>
          <w:rFonts w:hint="eastAsia" w:ascii="仿宋" w:hAnsi="仿宋" w:eastAsia="仿宋" w:cs="Times New Roman"/>
          <w:highlight w:val="none"/>
        </w:rPr>
        <w:t>近三年无重大违法记录、无失信不良记录</w:t>
      </w:r>
      <w:r>
        <w:rPr>
          <w:rFonts w:ascii="仿宋" w:hAnsi="仿宋" w:eastAsia="仿宋" w:cs="Times New Roman"/>
          <w:highlight w:val="none"/>
        </w:rPr>
        <w:t>。</w:t>
      </w:r>
    </w:p>
    <w:p w14:paraId="1EF4CF5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4、法律、行政法规规定的其他资格条件。</w:t>
      </w:r>
    </w:p>
    <w:p w14:paraId="7332220B">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 w:hAnsi="仿宋" w:eastAsia="仿宋" w:cs="Times New Roman"/>
          <w:b/>
          <w:bCs/>
          <w:highlight w:val="none"/>
        </w:rPr>
      </w:pPr>
      <w:r>
        <w:rPr>
          <w:rFonts w:hint="eastAsia" w:ascii="仿宋" w:hAnsi="仿宋" w:eastAsia="仿宋" w:cs="Times New Roman"/>
          <w:b/>
          <w:bCs/>
          <w:highlight w:val="none"/>
        </w:rPr>
        <w:t>三、采购需求及技术要求</w:t>
      </w:r>
    </w:p>
    <w:p w14:paraId="37AD4E1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1、服务需求</w:t>
      </w:r>
    </w:p>
    <w:p w14:paraId="77D8D08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1）供应商所提供的服务必须符合国家及行业有关标准及规范的要求。采购人有权按照国家、行业有关标准及规范或采购文件要求对供应商提供的服务进行验收。验收不合格的，采购人有权要求供应商重新提供服务，直至服务通过验收为止。因验收不通过造成的损失由供应商承担全部赔偿责任。</w:t>
      </w:r>
    </w:p>
    <w:p w14:paraId="20549BA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（2）合同签订之日起，接采购人通知，15日内完成原办公地空调设备的拆除，并运输至新办公地完成安装调试。如遇特殊情况，供应商应根据采购人要求调整工期。</w:t>
      </w:r>
    </w:p>
    <w:p w14:paraId="3DC4F22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（3）空调清洗、维修、安装、拆除、防护、运输等所需所有人员、设备（含高空作业所需专业车辆及设备等）、材料、工具等均由供应商负责，即承包方式为包工包料。</w:t>
      </w:r>
    </w:p>
    <w:p w14:paraId="4E5D2BB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4）供应商必须高度重视空调清洗、维修、安装、拆除、防护、运输过程中的安全，负责对空调清洗、维修维护工作人员开展作业规范及安全培训，严格按照《电气安全工作规程》及空调机组维修维护的专业要求开展工作。</w:t>
      </w:r>
      <w:r>
        <w:rPr>
          <w:rFonts w:hint="eastAsia" w:ascii="仿宋" w:hAnsi="仿宋" w:eastAsia="仿宋" w:cs="Times New Roman"/>
          <w:b/>
          <w:bCs/>
          <w:highlight w:val="none"/>
        </w:rPr>
        <w:t>工作人员根据作业种类，必须持有符合工作要求的特种作业操作证，包含但不限于高处作业证、低压电工作业证、焊接与热切割作业证等相应工作资质证书，采购阶段无需提交证件证明材料，成交供应商须在人员进场前完成全部证件的收集、核验并向采购人备案。</w:t>
      </w:r>
      <w:r>
        <w:rPr>
          <w:rFonts w:hint="eastAsia" w:ascii="仿宋" w:hAnsi="仿宋" w:eastAsia="仿宋" w:cs="Times New Roman"/>
          <w:highlight w:val="none"/>
        </w:rPr>
        <w:t>全体作业人员应熟练掌握岗位相关电气安全知识，具备相应安全作业能力。</w:t>
      </w:r>
      <w:r>
        <w:rPr>
          <w:rFonts w:hint="eastAsia" w:ascii="仿宋" w:hAnsi="仿宋" w:eastAsia="仿宋" w:cs="Times New Roman"/>
          <w:b/>
          <w:bCs/>
          <w:highlight w:val="none"/>
        </w:rPr>
        <w:t>同时，供应商还须为本项目提供项目经理（技术负责人）1名，负责业务对接，统筹协调本项目的执行，确保项目按约定保质保量按期完成。</w:t>
      </w:r>
    </w:p>
    <w:p w14:paraId="4E260F7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5）空调拆除后，旧铜管放置采购人指定地点归采购人所有；对拆除下来的空调做好集中深度清洗与全面检修（含加氟）、防护等工作后，将空调运输至采购人新办公地点，运输过程采取保护性包装（防震、防刮擦），确保空调可正常、有序安装。</w:t>
      </w:r>
    </w:p>
    <w:p w14:paraId="19B9955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b/>
          <w:bCs/>
          <w:highlight w:val="none"/>
        </w:rPr>
      </w:pPr>
      <w:r>
        <w:rPr>
          <w:rFonts w:hint="eastAsia" w:ascii="仿宋" w:hAnsi="仿宋" w:eastAsia="仿宋" w:cs="Times New Roman"/>
          <w:highlight w:val="none"/>
        </w:rPr>
        <w:t>（6）空调集中安装前，供应商根据采购人要求的时间对空调的室内机和室外机进行集中深度清洗与全面检修（含加氟），保障安装空调达到正常运行标准。清洗后室内机的过滤网、蒸发器、风轮表面无积尘、油污，室外机冷凝器、风扇表面无积尘。在清洗过程使用的清洗剂安全无异味，符合行业标准及环保要求。</w:t>
      </w:r>
      <w:r>
        <w:rPr>
          <w:rFonts w:hint="eastAsia" w:ascii="仿宋" w:hAnsi="仿宋" w:eastAsia="仿宋" w:cs="Times New Roman"/>
          <w:b/>
          <w:bCs/>
          <w:highlight w:val="none"/>
        </w:rPr>
        <w:t>安装过程中，旧支架拆除，外机配全新铁质支架；铜管按需换新（非强制全换），仅对老化、损毁或无法复用的更换，新管须为合规铜管（禁焊接、禁铝管替代），旧铜管及旧支架均归采购人所有；空调室内管需使用至少2个U型卡扣固定在墙体上，并完成安装所需的窗帘盒打孔、个别墙体打孔、出墙孔密封、空调信息登记等必要工作。最终安装台数及辅材以采购人现场指令为准。</w:t>
      </w:r>
    </w:p>
    <w:p w14:paraId="273B6C7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7）供应商需注意施工安全，对人员有可能产生伤害的施工环节要提前做好提示、预防、宣传，对存放的物料等要有明显的警示标志，规范佩戴安全带等装备，布置警戒线，须有安全员在外围巡视，防止人员受伤。因供应商施工过程造成人员受伤的由供应商负责赔偿。</w:t>
      </w:r>
    </w:p>
    <w:p w14:paraId="1E0F2EB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b/>
          <w:bCs/>
          <w:highlight w:val="none"/>
        </w:rPr>
      </w:pPr>
      <w:r>
        <w:rPr>
          <w:rFonts w:hint="eastAsia" w:ascii="仿宋" w:hAnsi="仿宋" w:eastAsia="仿宋" w:cs="Times New Roman"/>
          <w:highlight w:val="none"/>
        </w:rPr>
        <w:t>（8）供应商对空调机组的质量问题应及时与采购人沟通，确保空调安装后可正常使用。</w:t>
      </w:r>
      <w:r>
        <w:rPr>
          <w:rFonts w:hint="eastAsia" w:ascii="仿宋" w:hAnsi="仿宋" w:eastAsia="仿宋" w:cs="Times New Roman"/>
          <w:b/>
          <w:bCs/>
          <w:highlight w:val="none"/>
        </w:rPr>
        <w:t>如使用过程中出现问题，供应商对空调清洗、维修、拆装的服务质量负有维保责任。验收合格后1年内空调需维修的，供应商需48小时内完成维修，如为制冷问题需当日8:00-18:00期间解决。维保所需材料及零件的更换，以及人员、设备、交通运输、餐费等因维保所产生的一切费用应包含在报价内。</w:t>
      </w:r>
    </w:p>
    <w:p w14:paraId="6A26D23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9）供应商在进行空调清洗、维修、拆除、安装过程中要保证现场人员及财产安全，做好室内物品保护，不得擅自移动、使用物品；不得踩踏桌椅等家具进行作业，不得将空调外机放置在室内家具上，如有违反造成损失的由供应商负责恢复或赔偿；不得与员工、物业管理人员等相关人员发生冲突；未经采购人允许，不得进入非施工区域；因供应商原因造成员工、物业管理人员人身损害或财产损失，物品丢失、损坏的，供应商须承担相关责任并赔偿造成的损失。</w:t>
      </w:r>
    </w:p>
    <w:p w14:paraId="79BA159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10）供应商负责为空调清洗、维修、安装、拆除、防护、运输人员及作业所需购买相关保险，并承担其所有员工在空调清洗、维修、安装、拆除、运输过程中发生的事故责任，因供应商引发的纠纷、意见投诉或造成事故对采购人人员或单位造成不良影响或损失的，供应商需解决纠纷及意见投诉，造成损失的，供应商须承担一切后果并负赔偿责任。</w:t>
      </w:r>
    </w:p>
    <w:p w14:paraId="4B6A94B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11）供应商在进行空调清洗、维修、安装、拆除过程中要确保采购人建筑及其附属物、设备设施的安全，遵守政府有关主管部门、采购人实施部门对施工交通、施工噪音、环境保护和安全生产等管理规定。不得随意改动、破坏采购人建筑及其附属物和设备设施。如因维护需要等原因涉及改动的，需提前向采购人说明方案并征得采购人同意后方可实施，并对安全使用性出具书面说明。因供应商原因造成采购人建筑及其附属物、设备设施丢失、损坏的，供应商须承担相关责任并赔偿造成的损失，并负责恢复。</w:t>
      </w:r>
    </w:p>
    <w:p w14:paraId="67634E6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12）供应商入场需提前向采购人提供人员报备所需材料，确保提供信息的准确性，因供应商未提前报备或报备人员信息有误导致其服务人员无法按时入场工作，对采购人工作造成不良影响或造成损失的，由供应商承担一切责任；经采购方报备入场的工作人员不得从事与合作内容不相关的事项。经报备入场的车辆，需自行承担停车费用（如有）。</w:t>
      </w:r>
    </w:p>
    <w:p w14:paraId="475B442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（13）供应商需严格按照约定的施工时间（每日9:00-12:00，14:00-17:00，节假日除外，具体时间以采购人要求为准）进行施工，作业垃圾需作业当日清理出楼，并自行带离。</w:t>
      </w:r>
    </w:p>
    <w:p w14:paraId="0E51AB3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2、</w:t>
      </w:r>
      <w:r>
        <w:rPr>
          <w:rFonts w:hint="eastAsia" w:ascii="仿宋" w:hAnsi="仿宋" w:eastAsia="仿宋" w:cs="Times New Roman"/>
          <w:highlight w:val="none"/>
          <w:lang w:val="en-US" w:eastAsia="zh-CN"/>
        </w:rPr>
        <w:t>采购</w:t>
      </w:r>
      <w:r>
        <w:rPr>
          <w:rFonts w:hint="eastAsia" w:ascii="仿宋" w:hAnsi="仿宋" w:eastAsia="仿宋" w:cs="Times New Roman"/>
          <w:highlight w:val="none"/>
        </w:rPr>
        <w:t>内容</w:t>
      </w:r>
    </w:p>
    <w:p w14:paraId="1C88AFB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本次服务包含安徽省机械化粮库、集团本部两家单位存量空调拆除、搬运、复用安装配套服务，在册空调合计107台,其中机械化粮库63台（办公楼1-3层+平房区域）；集团本部44台（办公楼2-6层）；机型含分体式、柜机。</w:t>
      </w:r>
    </w:p>
    <w:p w14:paraId="537C596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起运点：合肥市蜀山区望江西路388号（机械化粮库办公楼1-3层，有电梯；集团办公本部1-6层，无电梯，主要搬迁涉及二层至六层）。</w:t>
      </w:r>
    </w:p>
    <w:p w14:paraId="2C0D292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目的地：合肥市蜀山区潜山路278号（有电梯，入驻4-12层各办公室）。</w:t>
      </w:r>
    </w:p>
    <w:p w14:paraId="7F0F47E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拆除范围：在册107台空调全部拆除，含外立面旧支架拆除。</w:t>
      </w:r>
    </w:p>
    <w:p w14:paraId="6E83656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安装约定：拆除后的空调经甲方查验，完好可复用的，按甲方指令安排安装；老化损毁、无复用价值的空调仅拆除、不再安装，最终实际安装台数以甲方现场指令为准。</w:t>
      </w:r>
    </w:p>
    <w:p w14:paraId="0D2C994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技术要求：分体式与柜机（3P/5P，含两相、三相四线）；新装配套新支架，旧支架拆除；铜管按需换新（非每台强制更换），室内机配U型卡固定，包工包料。</w:t>
      </w:r>
    </w:p>
    <w:p w14:paraId="419079E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hint="eastAsia" w:ascii="仿宋" w:hAnsi="仿宋" w:eastAsia="仿宋" w:cs="Times New Roman"/>
          <w:highlight w:val="none"/>
        </w:rPr>
        <w:t>承包范围包含：空调拆机、搬运、外机全新支架更换、穿墙打孔、铜管检修及按需更换、加氟调试、室内机固定等为完成空调拆装投用所需的全部人工、辅材、耗材，所有相关费用均包含在总报价中。</w:t>
      </w:r>
    </w:p>
    <w:p w14:paraId="151E06F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cs="Times New Roman"/>
          <w:highlight w:val="none"/>
        </w:rPr>
      </w:pPr>
      <w:r>
        <w:rPr>
          <w:rFonts w:hint="eastAsia" w:ascii="仿宋" w:hAnsi="仿宋" w:eastAsia="仿宋" w:cs="Times New Roman"/>
          <w:highlight w:val="none"/>
        </w:rPr>
        <w:t>归属：拆除旧铜管、旧支架归采购人所有；验收后提供1年维保。</w:t>
      </w:r>
    </w:p>
    <w:p w14:paraId="193FE3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b/>
          <w:bCs/>
          <w:highlight w:val="none"/>
        </w:rPr>
      </w:pPr>
      <w:r>
        <w:rPr>
          <w:rFonts w:hint="eastAsia" w:ascii="仿宋" w:hAnsi="仿宋" w:eastAsia="仿宋" w:cs="Times New Roman"/>
          <w:b/>
          <w:bCs/>
          <w:highlight w:val="none"/>
        </w:rPr>
        <w:t>四、结算约定</w:t>
      </w:r>
    </w:p>
    <w:p w14:paraId="3F92CF5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Times New Roman"/>
          <w:highlight w:val="none"/>
        </w:rPr>
      </w:pPr>
      <w:r>
        <w:rPr>
          <w:rFonts w:ascii="仿宋" w:hAnsi="仿宋" w:eastAsia="仿宋" w:cs="Times New Roman"/>
          <w:highlight w:val="none"/>
        </w:rPr>
        <w:t xml:space="preserve"> </w:t>
      </w:r>
      <w:r>
        <w:rPr>
          <w:rFonts w:hint="eastAsia" w:ascii="仿宋" w:hAnsi="仿宋" w:eastAsia="仿宋" w:cs="Times New Roman"/>
          <w:highlight w:val="none"/>
        </w:rPr>
        <w:t xml:space="preserve">  本项目为固定综合总价包干，固定总价包含：人工、搬运、运输、安全防护、税费、垃圾清运、加工等完成本项目全部工作的一切费用。除采购人出具正式书面变更以外，采购人不再支付任何新增费用，不接受任何辅材、配件单独增项。</w:t>
      </w:r>
    </w:p>
    <w:p w14:paraId="0A5D0CE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仿宋" w:hAnsi="仿宋" w:eastAsia="仿宋" w:cs="Times New Roman"/>
          <w:highlight w:val="none"/>
        </w:rPr>
      </w:pPr>
      <w:r>
        <w:rPr>
          <w:rFonts w:hint="eastAsia" w:ascii="仿宋" w:hAnsi="仿宋" w:eastAsia="仿宋" w:cs="Times New Roman"/>
          <w:b/>
          <w:bCs/>
          <w:highlight w:val="none"/>
        </w:rPr>
        <w:t>五、付款方式</w:t>
      </w:r>
    </w:p>
    <w:p w14:paraId="19CF3BE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ascii="仿宋" w:hAnsi="仿宋" w:eastAsia="仿宋" w:cs="Times New Roman"/>
          <w:highlight w:val="none"/>
        </w:rPr>
      </w:pPr>
      <w:r>
        <w:rPr>
          <w:rFonts w:hint="eastAsia" w:ascii="仿宋" w:hAnsi="仿宋" w:eastAsia="仿宋" w:cs="Times New Roman"/>
          <w:highlight w:val="none"/>
        </w:rPr>
        <w:t>项目验收合格后支付合同价款的95%；剩余5%作为质量保证金，质保期满（一年）无质量问题后无息付清。</w:t>
      </w:r>
    </w:p>
    <w:p w14:paraId="121A16F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Times New Roman"/>
          <w:b/>
          <w:bCs/>
          <w:highlight w:val="none"/>
        </w:rPr>
      </w:pPr>
      <w:r>
        <w:rPr>
          <w:rFonts w:hint="eastAsia" w:ascii="仿宋" w:hAnsi="仿宋" w:eastAsia="仿宋" w:cs="Times New Roman"/>
          <w:b/>
          <w:bCs/>
          <w:highlight w:val="none"/>
        </w:rPr>
        <w:t>六、提交方式</w:t>
      </w:r>
    </w:p>
    <w:p w14:paraId="0DF0DBD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1、邮寄递交：采用密封邮寄递交；</w:t>
      </w:r>
    </w:p>
    <w:p w14:paraId="6C2E076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2、邮寄封面注明【</w:t>
      </w:r>
      <w:r>
        <w:rPr>
          <w:rFonts w:hint="eastAsia" w:ascii="仿宋" w:hAnsi="仿宋" w:eastAsia="仿宋" w:cs="Times New Roman"/>
          <w:highlight w:val="none"/>
        </w:rPr>
        <w:t>安徽省机械化粮库</w:t>
      </w:r>
      <w:r>
        <w:rPr>
          <w:rFonts w:hint="eastAsia" w:ascii="仿宋" w:hAnsi="仿宋" w:eastAsia="仿宋" w:cs="Times New Roman"/>
          <w:highlight w:val="none"/>
          <w:lang w:val="en-US" w:eastAsia="zh-CN"/>
        </w:rPr>
        <w:t>搬迁服务项目标段二</w:t>
      </w:r>
      <w:r>
        <w:rPr>
          <w:rFonts w:hint="eastAsia" w:ascii="仿宋" w:hAnsi="仿宋" w:eastAsia="仿宋" w:cs="Times New Roman"/>
          <w:highlight w:val="none"/>
        </w:rPr>
        <w:t>空调设备拆装</w:t>
      </w:r>
      <w:r>
        <w:rPr>
          <w:rFonts w:hint="eastAsia" w:ascii="仿宋" w:hAnsi="仿宋" w:eastAsia="仿宋" w:cs="Times New Roman"/>
          <w:highlight w:val="none"/>
          <w:lang w:val="en-US" w:eastAsia="zh-CN"/>
        </w:rPr>
        <w:t>服务二次采购项目响应文件】；</w:t>
      </w:r>
    </w:p>
    <w:p w14:paraId="3CDF5E9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3、收件信息：寄送至安徽省合肥市蜀山区望江西路388号安徽省机械化粮库306室 （收件人：刘工 联系电话： 0551-65585019）；</w:t>
      </w:r>
    </w:p>
    <w:p w14:paraId="603C0AF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4、截止时间：2026年11月 12 日上午10：00。以我方实际签收时间为准，逾期收到的报价文</w:t>
      </w:r>
      <w:bookmarkStart w:id="0" w:name="_GoBack"/>
      <w:bookmarkEnd w:id="0"/>
      <w:r>
        <w:rPr>
          <w:rFonts w:hint="eastAsia" w:ascii="仿宋" w:hAnsi="仿宋" w:eastAsia="仿宋" w:cs="Times New Roman"/>
          <w:highlight w:val="none"/>
          <w:lang w:val="en-US" w:eastAsia="zh-CN"/>
        </w:rPr>
        <w:t>件无效。</w:t>
      </w:r>
    </w:p>
    <w:p w14:paraId="7A7E60B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5、密封要求：报价文件须密封包装，封口加盖单位公章。</w:t>
      </w:r>
    </w:p>
    <w:p w14:paraId="5D51B1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b/>
          <w:bCs/>
          <w:highlight w:val="none"/>
        </w:rPr>
      </w:pPr>
      <w:r>
        <w:rPr>
          <w:rFonts w:hint="eastAsia" w:ascii="仿宋" w:hAnsi="仿宋" w:eastAsia="仿宋" w:cs="Times New Roman"/>
          <w:b/>
          <w:bCs/>
          <w:highlight w:val="none"/>
        </w:rPr>
        <w:t>七</w:t>
      </w:r>
      <w:r>
        <w:rPr>
          <w:rFonts w:hint="eastAsia" w:ascii="仿宋" w:hAnsi="仿宋" w:eastAsia="仿宋" w:cs="Times New Roman"/>
          <w:b/>
          <w:bCs/>
          <w:highlight w:val="none"/>
          <w:lang w:eastAsia="zh-CN"/>
        </w:rPr>
        <w:t>、</w:t>
      </w:r>
      <w:r>
        <w:rPr>
          <w:rFonts w:hint="eastAsia" w:ascii="仿宋" w:hAnsi="仿宋" w:eastAsia="仿宋" w:cs="Times New Roman"/>
          <w:b/>
          <w:bCs/>
          <w:highlight w:val="none"/>
        </w:rPr>
        <w:t>响应文件</w:t>
      </w:r>
    </w:p>
    <w:p w14:paraId="22037A0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1、报价明细表（加盖公章）；</w:t>
      </w:r>
    </w:p>
    <w:p w14:paraId="7A6D1AA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2、营业执照复印件（加盖公章）；</w:t>
      </w:r>
    </w:p>
    <w:p w14:paraId="01CC64E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3、法定代表人身份证明及授权委托书（加盖公章）；</w:t>
      </w:r>
    </w:p>
    <w:p w14:paraId="236394A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4、供应商承诺书（加盖公章）；</w:t>
      </w:r>
    </w:p>
    <w:p w14:paraId="5382F4B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Times New Roman"/>
          <w:highlight w:val="none"/>
          <w:lang w:val="en-US" w:eastAsia="zh-CN"/>
        </w:rPr>
      </w:pPr>
      <w:r>
        <w:rPr>
          <w:rFonts w:hint="eastAsia" w:ascii="仿宋" w:hAnsi="仿宋" w:eastAsia="仿宋" w:cs="Times New Roman"/>
          <w:highlight w:val="none"/>
          <w:lang w:val="en-US" w:eastAsia="zh-CN"/>
        </w:rPr>
        <w:t>5、详细评分资料。</w:t>
      </w:r>
    </w:p>
    <w:p w14:paraId="4E9BD3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Times New Roman"/>
          <w:b/>
          <w:bCs/>
          <w:highlight w:val="none"/>
        </w:rPr>
      </w:pPr>
      <w:r>
        <w:rPr>
          <w:rFonts w:hint="eastAsia" w:ascii="仿宋" w:hAnsi="仿宋" w:eastAsia="仿宋" w:cs="Times New Roman"/>
          <w:b/>
          <w:bCs/>
          <w:highlight w:val="none"/>
        </w:rPr>
        <w:t>八</w:t>
      </w:r>
      <w:r>
        <w:rPr>
          <w:rFonts w:ascii="仿宋" w:hAnsi="仿宋" w:eastAsia="仿宋" w:cs="Times New Roman"/>
          <w:b/>
          <w:bCs/>
          <w:highlight w:val="none"/>
        </w:rPr>
        <w:t>、补充事宜</w:t>
      </w:r>
    </w:p>
    <w:p w14:paraId="73FDAC6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r>
        <w:rPr>
          <w:rFonts w:ascii="仿宋" w:hAnsi="仿宋" w:eastAsia="仿宋" w:cs="Times New Roman"/>
          <w:highlight w:val="none"/>
        </w:rPr>
        <w:t>若潜在供应商需实地踏勘项目现场，了解现场条件，供应商可自行安排任何授权人员现场踏勘</w:t>
      </w:r>
      <w:r>
        <w:rPr>
          <w:rFonts w:hint="eastAsia" w:ascii="仿宋" w:hAnsi="仿宋" w:eastAsia="仿宋" w:cs="Times New Roman"/>
          <w:highlight w:val="none"/>
        </w:rPr>
        <w:t>。</w:t>
      </w:r>
    </w:p>
    <w:p w14:paraId="0ED76610">
      <w:pPr>
        <w:pStyle w:val="2"/>
        <w:rPr>
          <w:rFonts w:hint="eastAsia" w:ascii="仿宋" w:hAnsi="仿宋" w:eastAsia="仿宋" w:cs="Times New Roman"/>
          <w:highlight w:val="none"/>
        </w:rPr>
      </w:pPr>
    </w:p>
    <w:p w14:paraId="72BE9F9E">
      <w:pPr>
        <w:rPr>
          <w:rFonts w:hint="eastAsia" w:ascii="仿宋" w:hAnsi="仿宋" w:eastAsia="仿宋" w:cs="Times New Roman"/>
          <w:highlight w:val="none"/>
        </w:rPr>
      </w:pPr>
    </w:p>
    <w:p w14:paraId="3CA5B932">
      <w:pPr>
        <w:pStyle w:val="2"/>
        <w:rPr>
          <w:rFonts w:hint="eastAsia" w:ascii="仿宋" w:hAnsi="仿宋" w:eastAsia="仿宋" w:cs="Times New Roman"/>
          <w:highlight w:val="none"/>
        </w:rPr>
      </w:pPr>
    </w:p>
    <w:p w14:paraId="2CD72865">
      <w:pPr>
        <w:rPr>
          <w:rFonts w:hint="eastAsia" w:ascii="仿宋" w:hAnsi="仿宋" w:eastAsia="仿宋" w:cs="Times New Roman"/>
          <w:highlight w:val="none"/>
        </w:rPr>
      </w:pPr>
    </w:p>
    <w:p w14:paraId="31ED4C1B">
      <w:pPr>
        <w:pStyle w:val="2"/>
        <w:rPr>
          <w:rFonts w:hint="eastAsia" w:ascii="仿宋" w:hAnsi="仿宋" w:eastAsia="仿宋" w:cs="Times New Roman"/>
          <w:highlight w:val="none"/>
        </w:rPr>
      </w:pPr>
    </w:p>
    <w:p w14:paraId="0B632563">
      <w:pPr>
        <w:rPr>
          <w:rFonts w:hint="eastAsia" w:ascii="仿宋" w:hAnsi="仿宋" w:eastAsia="仿宋" w:cs="Times New Roman"/>
          <w:highlight w:val="none"/>
        </w:rPr>
      </w:pPr>
    </w:p>
    <w:p w14:paraId="1F998832">
      <w:pPr>
        <w:pStyle w:val="2"/>
        <w:rPr>
          <w:rFonts w:hint="eastAsia" w:ascii="仿宋" w:hAnsi="仿宋" w:eastAsia="仿宋" w:cs="Times New Roman"/>
          <w:highlight w:val="none"/>
        </w:rPr>
      </w:pPr>
    </w:p>
    <w:p w14:paraId="4A979B57">
      <w:pPr>
        <w:rPr>
          <w:rFonts w:hint="eastAsia" w:ascii="仿宋" w:hAnsi="仿宋" w:eastAsia="仿宋" w:cs="Times New Roman"/>
          <w:highlight w:val="none"/>
        </w:rPr>
      </w:pPr>
    </w:p>
    <w:p w14:paraId="50D9C8B3">
      <w:pPr>
        <w:pStyle w:val="2"/>
        <w:rPr>
          <w:rFonts w:hint="eastAsia" w:ascii="仿宋" w:hAnsi="仿宋" w:eastAsia="仿宋" w:cs="Times New Roman"/>
          <w:highlight w:val="none"/>
        </w:rPr>
      </w:pPr>
    </w:p>
    <w:p w14:paraId="521E899C">
      <w:pPr>
        <w:rPr>
          <w:rFonts w:hint="eastAsia" w:ascii="仿宋" w:hAnsi="仿宋" w:eastAsia="仿宋" w:cs="Times New Roman"/>
          <w:highlight w:val="none"/>
        </w:rPr>
      </w:pPr>
    </w:p>
    <w:p w14:paraId="3E1B52E6">
      <w:pPr>
        <w:pStyle w:val="2"/>
        <w:rPr>
          <w:rFonts w:hint="eastAsia" w:ascii="仿宋" w:hAnsi="仿宋" w:eastAsia="仿宋" w:cs="Times New Roman"/>
          <w:highlight w:val="none"/>
        </w:rPr>
      </w:pPr>
    </w:p>
    <w:p w14:paraId="09689CF2">
      <w:pPr>
        <w:rPr>
          <w:rFonts w:hint="eastAsia" w:ascii="仿宋" w:hAnsi="仿宋" w:eastAsia="仿宋" w:cs="Times New Roman"/>
          <w:highlight w:val="none"/>
        </w:rPr>
      </w:pPr>
    </w:p>
    <w:p w14:paraId="2A406E99">
      <w:pPr>
        <w:pStyle w:val="2"/>
        <w:rPr>
          <w:rFonts w:hint="eastAsia" w:ascii="仿宋" w:hAnsi="仿宋" w:eastAsia="仿宋" w:cs="Times New Roman"/>
          <w:highlight w:val="none"/>
        </w:rPr>
      </w:pPr>
    </w:p>
    <w:p w14:paraId="6D2025BA">
      <w:pPr>
        <w:rPr>
          <w:rFonts w:hint="eastAsia" w:ascii="仿宋" w:hAnsi="仿宋" w:eastAsia="仿宋" w:cs="Times New Roman"/>
          <w:highlight w:val="none"/>
        </w:rPr>
      </w:pPr>
    </w:p>
    <w:p w14:paraId="2DEB6D25">
      <w:pPr>
        <w:pStyle w:val="2"/>
        <w:rPr>
          <w:rFonts w:hint="eastAsia" w:ascii="仿宋" w:hAnsi="仿宋" w:eastAsia="仿宋" w:cs="Times New Roman"/>
          <w:highlight w:val="none"/>
        </w:rPr>
      </w:pPr>
    </w:p>
    <w:p w14:paraId="710E455E">
      <w:pPr>
        <w:rPr>
          <w:rFonts w:hint="eastAsia" w:ascii="仿宋" w:hAnsi="仿宋" w:eastAsia="仿宋" w:cs="Times New Roman"/>
          <w:highlight w:val="none"/>
        </w:rPr>
      </w:pPr>
    </w:p>
    <w:p w14:paraId="794763FC">
      <w:pPr>
        <w:pStyle w:val="2"/>
        <w:rPr>
          <w:rFonts w:hint="eastAsia" w:ascii="仿宋" w:hAnsi="仿宋" w:eastAsia="仿宋" w:cs="Times New Roman"/>
          <w:highlight w:val="none"/>
        </w:rPr>
      </w:pPr>
    </w:p>
    <w:p w14:paraId="0CE5263A">
      <w:pPr>
        <w:rPr>
          <w:rFonts w:hint="eastAsia" w:ascii="仿宋" w:hAnsi="仿宋" w:eastAsia="仿宋" w:cs="Times New Roman"/>
          <w:highlight w:val="none"/>
        </w:rPr>
      </w:pPr>
    </w:p>
    <w:p w14:paraId="3D1E8A60">
      <w:pPr>
        <w:pStyle w:val="2"/>
        <w:rPr>
          <w:rFonts w:hint="eastAsia" w:ascii="仿宋" w:hAnsi="仿宋" w:eastAsia="仿宋" w:cs="Times New Roman"/>
          <w:highlight w:val="none"/>
        </w:rPr>
      </w:pPr>
    </w:p>
    <w:p w14:paraId="017D1853">
      <w:pPr>
        <w:rPr>
          <w:rFonts w:hint="eastAsia"/>
        </w:rPr>
      </w:pPr>
    </w:p>
    <w:p w14:paraId="5605C7D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highlight w:val="none"/>
        </w:rPr>
      </w:pPr>
    </w:p>
    <w:p w14:paraId="0448DA83">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 w:hAnsi="仿宋" w:eastAsia="仿宋" w:cs="仿宋"/>
          <w:b/>
          <w:color w:val="auto"/>
          <w:sz w:val="32"/>
          <w:szCs w:val="32"/>
          <w:highlight w:val="none"/>
        </w:rPr>
      </w:pPr>
      <w:r>
        <w:rPr>
          <w:rFonts w:hint="eastAsia" w:ascii="仿宋" w:hAnsi="仿宋" w:eastAsia="仿宋" w:cs="Times New Roman"/>
          <w:b/>
          <w:bCs/>
          <w:highlight w:val="none"/>
        </w:rPr>
        <w:t>附件1：报价明细表</w:t>
      </w:r>
    </w:p>
    <w:tbl>
      <w:tblPr>
        <w:tblStyle w:val="13"/>
        <w:tblW w:w="49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7"/>
        <w:gridCol w:w="5466"/>
      </w:tblGrid>
      <w:tr w14:paraId="44D5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696" w:type="pct"/>
            <w:tcBorders>
              <w:top w:val="single" w:color="auto" w:sz="4" w:space="0"/>
              <w:left w:val="single" w:color="auto" w:sz="4" w:space="0"/>
              <w:bottom w:val="single" w:color="auto" w:sz="4" w:space="0"/>
              <w:right w:val="single" w:color="auto" w:sz="4" w:space="0"/>
            </w:tcBorders>
            <w:vAlign w:val="center"/>
          </w:tcPr>
          <w:p w14:paraId="0C5806FE">
            <w:pPr>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供应商名称</w:t>
            </w:r>
          </w:p>
        </w:tc>
        <w:tc>
          <w:tcPr>
            <w:tcW w:w="3303" w:type="pct"/>
            <w:tcBorders>
              <w:left w:val="single" w:color="auto" w:sz="4" w:space="0"/>
            </w:tcBorders>
          </w:tcPr>
          <w:p w14:paraId="6B3CBE8A">
            <w:pPr>
              <w:spacing w:line="360" w:lineRule="auto"/>
              <w:rPr>
                <w:rFonts w:hint="eastAsia" w:ascii="仿宋" w:hAnsi="仿宋" w:eastAsia="仿宋" w:cs="仿宋"/>
                <w:b/>
                <w:color w:val="auto"/>
                <w:sz w:val="32"/>
                <w:szCs w:val="32"/>
                <w:highlight w:val="none"/>
              </w:rPr>
            </w:pPr>
          </w:p>
        </w:tc>
      </w:tr>
      <w:tr w14:paraId="2E961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696" w:type="pct"/>
            <w:tcBorders>
              <w:top w:val="single" w:color="auto" w:sz="4" w:space="0"/>
              <w:left w:val="single" w:color="auto" w:sz="4" w:space="0"/>
              <w:bottom w:val="single" w:color="auto" w:sz="4" w:space="0"/>
              <w:right w:val="single" w:color="auto" w:sz="4" w:space="0"/>
            </w:tcBorders>
            <w:vAlign w:val="center"/>
          </w:tcPr>
          <w:p w14:paraId="15E03999">
            <w:pPr>
              <w:spacing w:line="36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采购</w:t>
            </w:r>
            <w:r>
              <w:rPr>
                <w:rFonts w:hint="eastAsia" w:ascii="仿宋" w:hAnsi="仿宋" w:eastAsia="仿宋" w:cs="仿宋"/>
                <w:b/>
                <w:color w:val="auto"/>
                <w:sz w:val="32"/>
                <w:szCs w:val="32"/>
                <w:highlight w:val="none"/>
              </w:rPr>
              <w:t>范围</w:t>
            </w:r>
          </w:p>
        </w:tc>
        <w:tc>
          <w:tcPr>
            <w:tcW w:w="3303" w:type="pct"/>
            <w:tcBorders>
              <w:left w:val="single" w:color="auto" w:sz="4" w:space="0"/>
            </w:tcBorders>
            <w:vAlign w:val="center"/>
          </w:tcPr>
          <w:p w14:paraId="262DAC1A">
            <w:pPr>
              <w:widowControl/>
              <w:spacing w:line="360" w:lineRule="exact"/>
              <w:rPr>
                <w:rFonts w:hint="eastAsia" w:ascii="仿宋" w:hAnsi="仿宋" w:eastAsia="仿宋" w:cs="仿宋"/>
                <w:b/>
                <w:color w:val="auto"/>
                <w:sz w:val="32"/>
                <w:szCs w:val="32"/>
                <w:highlight w:val="none"/>
                <w:lang w:val="en-US" w:eastAsia="zh-CN"/>
              </w:rPr>
            </w:pPr>
            <w:r>
              <w:rPr>
                <w:rFonts w:hint="eastAsia" w:ascii="仿宋" w:hAnsi="仿宋" w:eastAsia="仿宋" w:cs="仿宋"/>
                <w:color w:val="auto"/>
                <w:sz w:val="32"/>
                <w:szCs w:val="32"/>
                <w:highlight w:val="none"/>
                <w:lang w:val="en-US" w:eastAsia="zh-CN"/>
              </w:rPr>
              <w:t>全部</w:t>
            </w:r>
          </w:p>
        </w:tc>
      </w:tr>
      <w:tr w14:paraId="741D8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696" w:type="pct"/>
            <w:tcBorders>
              <w:top w:val="single" w:color="auto" w:sz="4" w:space="0"/>
            </w:tcBorders>
            <w:vAlign w:val="center"/>
          </w:tcPr>
          <w:p w14:paraId="249D3FDA">
            <w:pPr>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报价</w:t>
            </w:r>
          </w:p>
          <w:p w14:paraId="014A11D5">
            <w:pPr>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（详见备注说明）</w:t>
            </w:r>
          </w:p>
        </w:tc>
        <w:tc>
          <w:tcPr>
            <w:tcW w:w="3303" w:type="pct"/>
            <w:vAlign w:val="center"/>
          </w:tcPr>
          <w:p w14:paraId="148E518D">
            <w:pPr>
              <w:snapToGrid w:val="0"/>
              <w:spacing w:line="360" w:lineRule="auto"/>
              <w:rPr>
                <w:rFonts w:hint="eastAsia" w:ascii="仿宋" w:hAnsi="仿宋" w:eastAsia="仿宋" w:cs="仿宋"/>
                <w:color w:val="auto"/>
                <w:sz w:val="32"/>
                <w:szCs w:val="32"/>
                <w:highlight w:val="none"/>
              </w:rPr>
            </w:pPr>
          </w:p>
          <w:p w14:paraId="76E80C15">
            <w:pPr>
              <w:snapToGrid w:val="0"/>
              <w:spacing w:line="360" w:lineRule="auto"/>
              <w:jc w:val="left"/>
              <w:rPr>
                <w:rFonts w:hint="eastAsia" w:ascii="仿宋" w:hAnsi="仿宋" w:eastAsia="仿宋" w:cs="仿宋"/>
                <w:bCs/>
                <w:color w:val="auto"/>
                <w:sz w:val="32"/>
                <w:szCs w:val="32"/>
                <w:highlight w:val="none"/>
                <w:u w:val="single"/>
              </w:rPr>
            </w:pPr>
            <w:r>
              <w:rPr>
                <w:rFonts w:hint="eastAsia" w:ascii="仿宋" w:hAnsi="仿宋" w:eastAsia="仿宋" w:cs="仿宋"/>
                <w:bCs/>
                <w:color w:val="auto"/>
                <w:sz w:val="32"/>
                <w:szCs w:val="32"/>
                <w:highlight w:val="none"/>
              </w:rPr>
              <w:t>大写：</w:t>
            </w:r>
            <w:r>
              <w:rPr>
                <w:rFonts w:hint="eastAsia" w:ascii="仿宋" w:hAnsi="仿宋" w:eastAsia="仿宋" w:cs="仿宋"/>
                <w:bCs/>
                <w:color w:val="auto"/>
                <w:sz w:val="32"/>
                <w:szCs w:val="32"/>
                <w:highlight w:val="none"/>
                <w:u w:val="single"/>
              </w:rPr>
              <w:t xml:space="preserve">                     </w:t>
            </w:r>
          </w:p>
          <w:p w14:paraId="719F5006">
            <w:pPr>
              <w:spacing w:line="360" w:lineRule="auto"/>
              <w:ind w:right="-670"/>
              <w:rPr>
                <w:rFonts w:hint="eastAsia" w:ascii="仿宋" w:hAnsi="仿宋" w:eastAsia="仿宋" w:cs="仿宋"/>
                <w:color w:val="auto"/>
                <w:sz w:val="32"/>
                <w:szCs w:val="32"/>
                <w:highlight w:val="none"/>
              </w:rPr>
            </w:pPr>
            <w:r>
              <w:rPr>
                <w:rFonts w:hint="eastAsia" w:ascii="仿宋" w:hAnsi="仿宋" w:eastAsia="仿宋" w:cs="仿宋"/>
                <w:bCs/>
                <w:color w:val="auto"/>
                <w:sz w:val="32"/>
                <w:szCs w:val="32"/>
                <w:highlight w:val="none"/>
              </w:rPr>
              <w:t>小写：</w:t>
            </w:r>
            <w:r>
              <w:rPr>
                <w:rFonts w:hint="eastAsia" w:ascii="仿宋" w:hAnsi="仿宋" w:eastAsia="仿宋" w:cs="仿宋"/>
                <w:bCs/>
                <w:color w:val="auto"/>
                <w:sz w:val="32"/>
                <w:szCs w:val="32"/>
                <w:highlight w:val="none"/>
                <w:u w:val="single"/>
              </w:rPr>
              <w:t xml:space="preserve">                     </w:t>
            </w:r>
          </w:p>
          <w:p w14:paraId="16E865EE">
            <w:pPr>
              <w:snapToGrid w:val="0"/>
              <w:spacing w:line="360" w:lineRule="auto"/>
              <w:rPr>
                <w:rFonts w:hint="eastAsia" w:ascii="仿宋" w:hAnsi="仿宋" w:eastAsia="仿宋" w:cs="仿宋"/>
                <w:b/>
                <w:color w:val="auto"/>
                <w:sz w:val="32"/>
                <w:szCs w:val="32"/>
                <w:highlight w:val="none"/>
              </w:rPr>
            </w:pPr>
          </w:p>
        </w:tc>
      </w:tr>
      <w:tr w14:paraId="1FD9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696" w:type="pct"/>
            <w:vAlign w:val="center"/>
          </w:tcPr>
          <w:p w14:paraId="66A8A967">
            <w:pPr>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备注说明</w:t>
            </w:r>
          </w:p>
        </w:tc>
        <w:tc>
          <w:tcPr>
            <w:tcW w:w="3303" w:type="pct"/>
          </w:tcPr>
          <w:p w14:paraId="09F35D6C">
            <w:pPr>
              <w:spacing w:line="360" w:lineRule="auto"/>
              <w:rPr>
                <w:rFonts w:hint="eastAsia" w:ascii="仿宋" w:hAnsi="仿宋" w:eastAsia="仿宋" w:cs="仿宋"/>
                <w:b/>
                <w:color w:val="auto"/>
                <w:sz w:val="32"/>
                <w:szCs w:val="32"/>
                <w:highlight w:val="none"/>
              </w:rPr>
            </w:pPr>
          </w:p>
        </w:tc>
      </w:tr>
    </w:tbl>
    <w:p w14:paraId="1DF17F07">
      <w:pPr>
        <w:spacing w:line="360" w:lineRule="auto"/>
        <w:ind w:firstLine="3520" w:firstLineChars="1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供应商（盖章）：</w:t>
      </w:r>
      <w:r>
        <w:rPr>
          <w:rFonts w:hint="eastAsia" w:ascii="仿宋" w:hAnsi="仿宋" w:eastAsia="仿宋" w:cs="仿宋"/>
          <w:color w:val="auto"/>
          <w:sz w:val="32"/>
          <w:szCs w:val="32"/>
          <w:highlight w:val="none"/>
          <w:u w:val="single"/>
        </w:rPr>
        <w:t xml:space="preserve">             </w:t>
      </w:r>
    </w:p>
    <w:p w14:paraId="1C9BB79F">
      <w:pPr>
        <w:spacing w:line="360" w:lineRule="auto"/>
        <w:ind w:firstLine="3520" w:firstLineChars="11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日          期：</w:t>
      </w:r>
      <w:r>
        <w:rPr>
          <w:rFonts w:hint="eastAsia" w:ascii="仿宋" w:hAnsi="仿宋" w:eastAsia="仿宋" w:cs="仿宋"/>
          <w:color w:val="auto"/>
          <w:sz w:val="32"/>
          <w:szCs w:val="32"/>
          <w:highlight w:val="none"/>
          <w:u w:val="single"/>
        </w:rPr>
        <w:t xml:space="preserve">             </w:t>
      </w:r>
    </w:p>
    <w:p w14:paraId="2167160E">
      <w:pPr>
        <w:adjustRightInd w:val="0"/>
        <w:snapToGrid w:val="0"/>
        <w:spacing w:line="360" w:lineRule="auto"/>
        <w:rPr>
          <w:rFonts w:hint="eastAsia" w:ascii="仿宋" w:hAnsi="仿宋" w:eastAsia="仿宋" w:cs="仿宋"/>
          <w:b/>
          <w:bCs/>
          <w:color w:val="auto"/>
          <w:sz w:val="28"/>
          <w:szCs w:val="28"/>
          <w:highlight w:val="none"/>
        </w:rPr>
      </w:pPr>
    </w:p>
    <w:p w14:paraId="693F35B6">
      <w:pPr>
        <w:adjustRightInd w:val="0"/>
        <w:snapToGrid w:val="0"/>
        <w:spacing w:line="360" w:lineRule="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注：</w:t>
      </w:r>
    </w:p>
    <w:p w14:paraId="3027C61E">
      <w:pPr>
        <w:adjustRightInd w:val="0"/>
        <w:snapToGrid w:val="0"/>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1.本表内容根据</w:t>
      </w:r>
      <w:r>
        <w:rPr>
          <w:rFonts w:hint="eastAsia" w:ascii="仿宋" w:hAnsi="仿宋" w:eastAsia="仿宋" w:cs="仿宋"/>
          <w:b w:val="0"/>
          <w:bCs w:val="0"/>
          <w:color w:val="auto"/>
          <w:sz w:val="28"/>
          <w:szCs w:val="28"/>
          <w:highlight w:val="none"/>
          <w:lang w:val="en-US" w:eastAsia="zh-CN"/>
        </w:rPr>
        <w:t>采购公告</w:t>
      </w:r>
      <w:r>
        <w:rPr>
          <w:rFonts w:hint="eastAsia" w:ascii="仿宋" w:hAnsi="仿宋" w:eastAsia="仿宋" w:cs="仿宋"/>
          <w:b w:val="0"/>
          <w:bCs w:val="0"/>
          <w:color w:val="auto"/>
          <w:sz w:val="28"/>
          <w:szCs w:val="28"/>
          <w:highlight w:val="none"/>
        </w:rPr>
        <w:t>要求包括了服务及其配套的设计、采购、制造、检测、试验、运输、保险、仓储、税费以及现场落地、安装及安装耗损、调试、培训、技术服务（包括技术资料、图纸的提供）质保期内的售后服务保障等所有费用。</w:t>
      </w:r>
    </w:p>
    <w:p w14:paraId="2ED54296">
      <w:pPr>
        <w:adjustRightInd w:val="0"/>
        <w:snapToGrid w:val="0"/>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2.特殊事项在备注中注明。</w:t>
      </w:r>
    </w:p>
    <w:p w14:paraId="005DB52A">
      <w:pPr>
        <w:adjustRightInd w:val="0"/>
        <w:snapToGrid w:val="0"/>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val="en-US" w:eastAsia="zh-CN"/>
        </w:rPr>
        <w:t>3</w:t>
      </w:r>
      <w:r>
        <w:rPr>
          <w:rFonts w:hint="eastAsia" w:ascii="仿宋" w:hAnsi="仿宋" w:eastAsia="仿宋" w:cs="仿宋"/>
          <w:b w:val="0"/>
          <w:bCs w:val="0"/>
          <w:color w:val="auto"/>
          <w:sz w:val="28"/>
          <w:szCs w:val="28"/>
          <w:highlight w:val="none"/>
        </w:rPr>
        <w:t>.表中大写金额与小写金额不一致的，以大写金额为准。</w:t>
      </w:r>
    </w:p>
    <w:p w14:paraId="0037BE30">
      <w:pPr>
        <w:pStyle w:val="2"/>
        <w:rPr>
          <w:rFonts w:hint="eastAsia" w:ascii="仿宋" w:hAnsi="仿宋" w:eastAsia="仿宋" w:cs="仿宋"/>
          <w:b w:val="0"/>
          <w:bCs w:val="0"/>
          <w:color w:val="auto"/>
          <w:sz w:val="28"/>
          <w:szCs w:val="28"/>
          <w:highlight w:val="none"/>
        </w:rPr>
      </w:pPr>
    </w:p>
    <w:p w14:paraId="0E025DFE">
      <w:pPr>
        <w:pStyle w:val="2"/>
        <w:ind w:left="0" w:leftChars="0" w:firstLine="0" w:firstLineChars="0"/>
        <w:rPr>
          <w:rFonts w:hint="eastAsia"/>
        </w:rPr>
      </w:pPr>
    </w:p>
    <w:p w14:paraId="2860B9F4">
      <w:pPr>
        <w:rPr>
          <w:rFonts w:hint="eastAsia" w:ascii="仿宋" w:hAnsi="仿宋" w:eastAsia="仿宋"/>
          <w:b/>
          <w:bCs/>
          <w:highlight w:val="none"/>
          <w:lang w:val="en-US" w:eastAsia="zh-CN"/>
        </w:rPr>
      </w:pPr>
      <w:r>
        <w:rPr>
          <w:rFonts w:hint="eastAsia" w:ascii="仿宋" w:hAnsi="仿宋" w:eastAsia="仿宋"/>
          <w:b/>
          <w:bCs/>
          <w:highlight w:val="none"/>
        </w:rPr>
        <w:t>附件2：法定代表人身份证明</w:t>
      </w:r>
      <w:r>
        <w:rPr>
          <w:rFonts w:hint="eastAsia" w:ascii="仿宋" w:hAnsi="仿宋" w:eastAsia="仿宋"/>
          <w:b/>
          <w:bCs/>
          <w:highlight w:val="none"/>
          <w:lang w:val="en-US" w:eastAsia="zh-CN"/>
        </w:rPr>
        <w:t>及授权委托书</w:t>
      </w:r>
    </w:p>
    <w:p w14:paraId="172BCDDC">
      <w:pPr>
        <w:jc w:val="center"/>
        <w:rPr>
          <w:rFonts w:hint="eastAsia"/>
          <w:szCs w:val="21"/>
          <w:highlight w:val="none"/>
        </w:rPr>
      </w:pPr>
      <w:r>
        <w:rPr>
          <w:rFonts w:hint="eastAsia" w:ascii="黑体" w:hAnsi="黑体" w:eastAsia="黑体"/>
          <w:bCs/>
          <w:sz w:val="28"/>
          <w:szCs w:val="24"/>
          <w:highlight w:val="none"/>
        </w:rPr>
        <w:t>法定代表人身份证明</w:t>
      </w:r>
    </w:p>
    <w:p w14:paraId="22EF8DAC">
      <w:pPr>
        <w:ind w:firstLine="480"/>
        <w:rPr>
          <w:rFonts w:hint="eastAsia"/>
          <w:szCs w:val="21"/>
          <w:highlight w:val="none"/>
        </w:rPr>
      </w:pPr>
    </w:p>
    <w:p w14:paraId="5EE0E425">
      <w:pPr>
        <w:ind w:firstLine="480"/>
        <w:rPr>
          <w:rFonts w:hint="eastAsia"/>
          <w:szCs w:val="21"/>
          <w:highlight w:val="none"/>
        </w:rPr>
      </w:pPr>
      <w:r>
        <w:rPr>
          <w:rFonts w:hint="eastAsia"/>
          <w:szCs w:val="21"/>
          <w:highlight w:val="none"/>
        </w:rPr>
        <w:t>供 应 商：</w:t>
      </w:r>
      <w:r>
        <w:rPr>
          <w:rFonts w:hint="eastAsia"/>
          <w:szCs w:val="21"/>
          <w:highlight w:val="none"/>
          <w:u w:val="single"/>
        </w:rPr>
        <w:t xml:space="preserve">                                          </w:t>
      </w:r>
    </w:p>
    <w:p w14:paraId="162389E3">
      <w:pPr>
        <w:ind w:firstLine="480"/>
        <w:rPr>
          <w:rFonts w:hint="eastAsia"/>
          <w:szCs w:val="21"/>
          <w:highlight w:val="none"/>
        </w:rPr>
      </w:pPr>
      <w:r>
        <w:rPr>
          <w:rFonts w:hint="eastAsia"/>
          <w:szCs w:val="21"/>
          <w:highlight w:val="none"/>
        </w:rPr>
        <w:t>单位性质：</w:t>
      </w:r>
      <w:r>
        <w:rPr>
          <w:rFonts w:hint="eastAsia"/>
          <w:szCs w:val="21"/>
          <w:highlight w:val="none"/>
          <w:u w:val="single"/>
        </w:rPr>
        <w:t xml:space="preserve">                                          </w:t>
      </w:r>
    </w:p>
    <w:p w14:paraId="29504850">
      <w:pPr>
        <w:ind w:firstLine="480"/>
        <w:rPr>
          <w:rFonts w:hint="eastAsia"/>
          <w:szCs w:val="21"/>
          <w:highlight w:val="none"/>
        </w:rPr>
      </w:pPr>
      <w:r>
        <w:rPr>
          <w:rFonts w:hint="eastAsia"/>
          <w:szCs w:val="21"/>
          <w:highlight w:val="none"/>
        </w:rPr>
        <w:t>地    址：</w:t>
      </w:r>
      <w:r>
        <w:rPr>
          <w:rFonts w:hint="eastAsia"/>
          <w:szCs w:val="21"/>
          <w:highlight w:val="none"/>
          <w:u w:val="single"/>
        </w:rPr>
        <w:t xml:space="preserve">                                          </w:t>
      </w:r>
    </w:p>
    <w:p w14:paraId="636CCE9E">
      <w:pPr>
        <w:ind w:firstLine="480"/>
        <w:rPr>
          <w:szCs w:val="21"/>
          <w:highlight w:val="none"/>
        </w:rPr>
      </w:pPr>
      <w:r>
        <w:rPr>
          <w:rFonts w:hint="eastAsia"/>
          <w:szCs w:val="21"/>
          <w:highlight w:val="none"/>
        </w:rPr>
        <w:t>成立时间：</w:t>
      </w:r>
      <w:r>
        <w:rPr>
          <w:rFonts w:hint="eastAsia"/>
          <w:szCs w:val="21"/>
          <w:highlight w:val="none"/>
          <w:u w:val="single"/>
        </w:rPr>
        <w:t xml:space="preserve">           </w:t>
      </w:r>
      <w:r>
        <w:rPr>
          <w:rFonts w:hint="eastAsia"/>
          <w:szCs w:val="21"/>
          <w:highlight w:val="none"/>
        </w:rPr>
        <w:t>年</w:t>
      </w:r>
      <w:r>
        <w:rPr>
          <w:rFonts w:hint="eastAsia"/>
          <w:szCs w:val="21"/>
          <w:highlight w:val="none"/>
          <w:u w:val="single"/>
        </w:rPr>
        <w:t xml:space="preserve">          </w:t>
      </w:r>
      <w:r>
        <w:rPr>
          <w:rFonts w:hint="eastAsia"/>
          <w:szCs w:val="21"/>
          <w:highlight w:val="none"/>
        </w:rPr>
        <w:t>月</w:t>
      </w:r>
      <w:r>
        <w:rPr>
          <w:rFonts w:hint="eastAsia"/>
          <w:szCs w:val="21"/>
          <w:highlight w:val="none"/>
          <w:u w:val="single"/>
        </w:rPr>
        <w:t xml:space="preserve">            </w:t>
      </w:r>
      <w:r>
        <w:rPr>
          <w:rFonts w:hint="eastAsia"/>
          <w:szCs w:val="21"/>
          <w:highlight w:val="none"/>
        </w:rPr>
        <w:t>日</w:t>
      </w:r>
    </w:p>
    <w:p w14:paraId="042FA026">
      <w:pPr>
        <w:ind w:firstLine="480"/>
        <w:rPr>
          <w:rFonts w:hint="eastAsia"/>
          <w:szCs w:val="21"/>
          <w:highlight w:val="none"/>
        </w:rPr>
      </w:pPr>
      <w:r>
        <w:rPr>
          <w:rFonts w:hint="eastAsia"/>
          <w:szCs w:val="21"/>
          <w:highlight w:val="none"/>
        </w:rPr>
        <w:t>经营期限：</w:t>
      </w:r>
      <w:r>
        <w:rPr>
          <w:rFonts w:hint="eastAsia"/>
          <w:szCs w:val="21"/>
          <w:highlight w:val="none"/>
          <w:u w:val="single"/>
        </w:rPr>
        <w:t xml:space="preserve">                                          </w:t>
      </w:r>
    </w:p>
    <w:p w14:paraId="1927299D">
      <w:pPr>
        <w:ind w:firstLine="480"/>
        <w:rPr>
          <w:rFonts w:hint="eastAsia"/>
          <w:szCs w:val="21"/>
          <w:highlight w:val="none"/>
        </w:rPr>
      </w:pPr>
      <w:r>
        <w:rPr>
          <w:rFonts w:hint="eastAsia"/>
          <w:szCs w:val="21"/>
          <w:highlight w:val="none"/>
        </w:rPr>
        <w:t>姓    名：</w:t>
      </w:r>
      <w:r>
        <w:rPr>
          <w:rFonts w:hint="eastAsia"/>
          <w:szCs w:val="21"/>
          <w:highlight w:val="none"/>
          <w:u w:val="single"/>
        </w:rPr>
        <w:t xml:space="preserve">                    </w:t>
      </w:r>
      <w:r>
        <w:rPr>
          <w:rFonts w:hint="eastAsia"/>
          <w:szCs w:val="21"/>
          <w:highlight w:val="none"/>
        </w:rPr>
        <w:t>性      别：</w:t>
      </w:r>
      <w:r>
        <w:rPr>
          <w:rFonts w:hint="eastAsia"/>
          <w:szCs w:val="21"/>
          <w:highlight w:val="none"/>
          <w:u w:val="single"/>
        </w:rPr>
        <w:t xml:space="preserve">            </w:t>
      </w:r>
    </w:p>
    <w:p w14:paraId="658FD55C">
      <w:pPr>
        <w:ind w:firstLine="480"/>
        <w:rPr>
          <w:szCs w:val="21"/>
          <w:highlight w:val="none"/>
        </w:rPr>
      </w:pPr>
      <w:r>
        <w:rPr>
          <w:rFonts w:hint="eastAsia"/>
          <w:szCs w:val="21"/>
          <w:highlight w:val="none"/>
        </w:rPr>
        <w:t>年    龄：</w:t>
      </w:r>
      <w:r>
        <w:rPr>
          <w:rFonts w:hint="eastAsia"/>
          <w:szCs w:val="21"/>
          <w:highlight w:val="none"/>
          <w:u w:val="single"/>
        </w:rPr>
        <w:t xml:space="preserve">                    </w:t>
      </w:r>
      <w:r>
        <w:rPr>
          <w:rFonts w:hint="eastAsia"/>
          <w:szCs w:val="21"/>
          <w:highlight w:val="none"/>
        </w:rPr>
        <w:t>职      务：</w:t>
      </w:r>
      <w:r>
        <w:rPr>
          <w:rFonts w:hint="eastAsia"/>
          <w:szCs w:val="21"/>
          <w:highlight w:val="none"/>
          <w:u w:val="single"/>
        </w:rPr>
        <w:t xml:space="preserve">             </w:t>
      </w:r>
    </w:p>
    <w:p w14:paraId="56A4AB52">
      <w:pPr>
        <w:ind w:firstLine="480"/>
        <w:rPr>
          <w:szCs w:val="21"/>
          <w:highlight w:val="none"/>
        </w:rPr>
      </w:pPr>
      <w:r>
        <w:rPr>
          <w:rFonts w:hint="eastAsia"/>
          <w:szCs w:val="21"/>
          <w:highlight w:val="none"/>
        </w:rPr>
        <w:t>系</w:t>
      </w:r>
      <w:r>
        <w:rPr>
          <w:rFonts w:hint="eastAsia"/>
          <w:szCs w:val="21"/>
          <w:highlight w:val="none"/>
          <w:u w:val="single"/>
        </w:rPr>
        <w:t xml:space="preserve">                     </w:t>
      </w:r>
      <w:r>
        <w:rPr>
          <w:rFonts w:hint="eastAsia"/>
          <w:szCs w:val="21"/>
          <w:highlight w:val="none"/>
        </w:rPr>
        <w:t>（供应商名称）的法定代表人（单位负责人）。</w:t>
      </w:r>
    </w:p>
    <w:p w14:paraId="5341A378">
      <w:pPr>
        <w:ind w:firstLine="480"/>
        <w:rPr>
          <w:rFonts w:hint="eastAsia"/>
          <w:szCs w:val="21"/>
          <w:highlight w:val="none"/>
        </w:rPr>
      </w:pPr>
      <w:r>
        <w:rPr>
          <w:rFonts w:hint="eastAsia"/>
          <w:szCs w:val="21"/>
          <w:highlight w:val="none"/>
        </w:rPr>
        <w:t>特此证明。</w:t>
      </w:r>
    </w:p>
    <w:p w14:paraId="1FDE2A62">
      <w:pPr>
        <w:ind w:firstLine="480"/>
        <w:rPr>
          <w:rFonts w:hint="eastAsia" w:ascii="宋体" w:hAnsi="宋体"/>
          <w:szCs w:val="21"/>
          <w:highlight w:val="none"/>
        </w:rPr>
      </w:pPr>
      <w:r>
        <w:rPr>
          <w:rFonts w:hint="eastAsia" w:ascii="宋体" w:hAnsi="宋体"/>
          <w:szCs w:val="21"/>
          <w:highlight w:val="none"/>
        </w:rPr>
        <w:t>附：法定代表人身份证</w:t>
      </w:r>
      <w:r>
        <w:rPr>
          <w:rFonts w:hint="eastAsia"/>
          <w:b/>
          <w:bCs/>
          <w:szCs w:val="21"/>
          <w:highlight w:val="none"/>
          <w:lang w:val="en-US" w:eastAsia="zh-CN"/>
        </w:rPr>
        <w:t>正反面</w:t>
      </w:r>
      <w:r>
        <w:rPr>
          <w:rFonts w:hint="eastAsia" w:ascii="宋体" w:hAnsi="宋体"/>
          <w:szCs w:val="21"/>
          <w:highlight w:val="none"/>
          <w:lang w:val="en-US" w:eastAsia="zh-CN"/>
        </w:rPr>
        <w:t>复印</w:t>
      </w:r>
      <w:r>
        <w:rPr>
          <w:rFonts w:hint="eastAsia" w:ascii="宋体" w:hAnsi="宋体"/>
          <w:szCs w:val="21"/>
          <w:highlight w:val="none"/>
        </w:rPr>
        <w:t>件。</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2EF9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4" w:hRule="atLeast"/>
        </w:trPr>
        <w:tc>
          <w:tcPr>
            <w:tcW w:w="4258" w:type="dxa"/>
            <w:noWrap w:val="0"/>
            <w:vAlign w:val="top"/>
          </w:tcPr>
          <w:p w14:paraId="093A2F63">
            <w:pPr>
              <w:spacing w:line="360" w:lineRule="auto"/>
              <w:jc w:val="center"/>
              <w:rPr>
                <w:rFonts w:hint="eastAsia" w:hAnsi="宋体"/>
                <w:b/>
                <w:bCs/>
                <w:sz w:val="28"/>
                <w:szCs w:val="20"/>
                <w:highlight w:val="none"/>
              </w:rPr>
            </w:pPr>
          </w:p>
          <w:p w14:paraId="0EE3329F">
            <w:pPr>
              <w:spacing w:line="360" w:lineRule="auto"/>
              <w:jc w:val="center"/>
              <w:rPr>
                <w:rFonts w:hint="eastAsia" w:hAnsi="宋体"/>
                <w:b/>
                <w:bCs/>
                <w:sz w:val="28"/>
                <w:szCs w:val="20"/>
                <w:highlight w:val="none"/>
              </w:rPr>
            </w:pPr>
          </w:p>
          <w:p w14:paraId="72C07CB7">
            <w:pPr>
              <w:spacing w:line="360" w:lineRule="auto"/>
              <w:jc w:val="center"/>
              <w:rPr>
                <w:rFonts w:hint="eastAsia" w:hAnsi="宋体"/>
                <w:b/>
                <w:bCs/>
                <w:sz w:val="28"/>
                <w:szCs w:val="20"/>
                <w:highlight w:val="none"/>
              </w:rPr>
            </w:pPr>
            <w:r>
              <w:rPr>
                <w:rFonts w:hint="eastAsia" w:hAnsi="宋体"/>
                <w:b/>
                <w:bCs/>
                <w:sz w:val="28"/>
                <w:szCs w:val="20"/>
                <w:highlight w:val="none"/>
              </w:rPr>
              <w:t>法定代表人身份证正面</w:t>
            </w:r>
            <w:r>
              <w:rPr>
                <w:rFonts w:hint="eastAsia" w:hAnsi="宋体"/>
                <w:b/>
                <w:bCs/>
                <w:sz w:val="28"/>
                <w:szCs w:val="20"/>
                <w:highlight w:val="none"/>
                <w:lang w:val="en-US" w:eastAsia="zh-CN"/>
              </w:rPr>
              <w:t>复印</w:t>
            </w:r>
            <w:r>
              <w:rPr>
                <w:rFonts w:hint="eastAsia" w:hAnsi="宋体"/>
                <w:b/>
                <w:bCs/>
                <w:sz w:val="28"/>
                <w:szCs w:val="20"/>
                <w:highlight w:val="none"/>
              </w:rPr>
              <w:t>件</w:t>
            </w:r>
          </w:p>
        </w:tc>
        <w:tc>
          <w:tcPr>
            <w:tcW w:w="4258" w:type="dxa"/>
            <w:noWrap w:val="0"/>
            <w:vAlign w:val="top"/>
          </w:tcPr>
          <w:p w14:paraId="380282AE">
            <w:pPr>
              <w:spacing w:line="360" w:lineRule="auto"/>
              <w:jc w:val="center"/>
              <w:rPr>
                <w:rFonts w:hint="eastAsia" w:hAnsi="宋体"/>
                <w:b/>
                <w:bCs/>
                <w:sz w:val="28"/>
                <w:szCs w:val="20"/>
                <w:highlight w:val="none"/>
              </w:rPr>
            </w:pPr>
          </w:p>
          <w:p w14:paraId="65BEEA32">
            <w:pPr>
              <w:spacing w:line="360" w:lineRule="auto"/>
              <w:jc w:val="center"/>
              <w:rPr>
                <w:rFonts w:hint="eastAsia" w:hAnsi="宋体"/>
                <w:b/>
                <w:bCs/>
                <w:sz w:val="28"/>
                <w:szCs w:val="20"/>
                <w:highlight w:val="none"/>
              </w:rPr>
            </w:pPr>
          </w:p>
          <w:p w14:paraId="5D0224B2">
            <w:pPr>
              <w:spacing w:line="360" w:lineRule="auto"/>
              <w:jc w:val="center"/>
              <w:rPr>
                <w:rFonts w:hint="eastAsia" w:hAnsi="宋体"/>
                <w:b/>
                <w:bCs/>
                <w:sz w:val="28"/>
                <w:szCs w:val="20"/>
                <w:highlight w:val="none"/>
              </w:rPr>
            </w:pPr>
            <w:r>
              <w:rPr>
                <w:rFonts w:hint="eastAsia" w:hAnsi="宋体"/>
                <w:b/>
                <w:bCs/>
                <w:sz w:val="28"/>
                <w:szCs w:val="20"/>
                <w:highlight w:val="none"/>
              </w:rPr>
              <w:t>法定代表人身份证反面</w:t>
            </w:r>
            <w:r>
              <w:rPr>
                <w:rFonts w:hint="eastAsia" w:hAnsi="宋体"/>
                <w:b/>
                <w:bCs/>
                <w:sz w:val="28"/>
                <w:szCs w:val="20"/>
                <w:highlight w:val="none"/>
                <w:lang w:val="en-US" w:eastAsia="zh-CN"/>
              </w:rPr>
              <w:t>复印</w:t>
            </w:r>
            <w:r>
              <w:rPr>
                <w:rFonts w:hint="eastAsia" w:hAnsi="宋体"/>
                <w:b/>
                <w:bCs/>
                <w:sz w:val="28"/>
                <w:szCs w:val="20"/>
                <w:highlight w:val="none"/>
              </w:rPr>
              <w:t>件</w:t>
            </w:r>
          </w:p>
        </w:tc>
      </w:tr>
    </w:tbl>
    <w:p w14:paraId="416A5315">
      <w:pPr>
        <w:ind w:firstLine="480"/>
        <w:rPr>
          <w:szCs w:val="21"/>
          <w:highlight w:val="none"/>
        </w:rPr>
      </w:pPr>
    </w:p>
    <w:p w14:paraId="444592E2">
      <w:pPr>
        <w:ind w:firstLine="480"/>
        <w:rPr>
          <w:szCs w:val="21"/>
          <w:highlight w:val="none"/>
        </w:rPr>
      </w:pPr>
    </w:p>
    <w:p w14:paraId="122C5257">
      <w:pPr>
        <w:adjustRightInd w:val="0"/>
        <w:snapToGrid w:val="0"/>
        <w:ind w:firstLine="960"/>
        <w:jc w:val="right"/>
        <w:rPr>
          <w:rFonts w:hint="eastAsia"/>
          <w:bCs/>
          <w:szCs w:val="21"/>
          <w:highlight w:val="none"/>
          <w:u w:val="single"/>
        </w:rPr>
      </w:pPr>
      <w:r>
        <w:rPr>
          <w:rFonts w:hint="eastAsia"/>
          <w:szCs w:val="21"/>
          <w:highlight w:val="none"/>
        </w:rPr>
        <w:t>供应商</w:t>
      </w:r>
      <w:r>
        <w:rPr>
          <w:rFonts w:hint="eastAsia"/>
          <w:bCs/>
          <w:szCs w:val="21"/>
          <w:highlight w:val="none"/>
        </w:rPr>
        <w:t>：</w:t>
      </w:r>
      <w:r>
        <w:rPr>
          <w:rFonts w:hint="eastAsia"/>
          <w:bCs/>
          <w:szCs w:val="21"/>
          <w:highlight w:val="none"/>
          <w:u w:val="single"/>
        </w:rPr>
        <w:t xml:space="preserve">            （盖单位章）</w:t>
      </w:r>
    </w:p>
    <w:p w14:paraId="160210B8">
      <w:pPr>
        <w:spacing w:before="48" w:beforeLines="20" w:after="48" w:afterLines="20"/>
        <w:ind w:firstLine="1920"/>
        <w:jc w:val="right"/>
        <w:rPr>
          <w:highlight w:val="none"/>
        </w:rPr>
      </w:pPr>
      <w:r>
        <w:rPr>
          <w:rFonts w:hint="eastAsia"/>
          <w:szCs w:val="21"/>
          <w:highlight w:val="none"/>
          <w:u w:val="single"/>
        </w:rPr>
        <w:t xml:space="preserve">       </w:t>
      </w:r>
      <w:r>
        <w:rPr>
          <w:rFonts w:hint="eastAsia"/>
          <w:szCs w:val="21"/>
          <w:highlight w:val="none"/>
        </w:rPr>
        <w:t>年</w:t>
      </w:r>
      <w:r>
        <w:rPr>
          <w:rFonts w:hint="eastAsia"/>
          <w:szCs w:val="21"/>
          <w:highlight w:val="none"/>
          <w:u w:val="single"/>
        </w:rPr>
        <w:t xml:space="preserve">     </w:t>
      </w:r>
      <w:r>
        <w:rPr>
          <w:rFonts w:hint="eastAsia"/>
          <w:szCs w:val="21"/>
          <w:highlight w:val="none"/>
        </w:rPr>
        <w:t>月</w:t>
      </w:r>
      <w:r>
        <w:rPr>
          <w:rFonts w:hint="eastAsia"/>
          <w:szCs w:val="21"/>
          <w:highlight w:val="none"/>
          <w:u w:val="single"/>
        </w:rPr>
        <w:t xml:space="preserve">      </w:t>
      </w:r>
      <w:r>
        <w:rPr>
          <w:rFonts w:hint="eastAsia"/>
          <w:szCs w:val="21"/>
          <w:highlight w:val="none"/>
        </w:rPr>
        <w:t>日</w:t>
      </w:r>
    </w:p>
    <w:p w14:paraId="2A0983C9">
      <w:pPr>
        <w:jc w:val="center"/>
        <w:rPr>
          <w:rFonts w:hint="eastAsia" w:ascii="黑体" w:hAnsi="黑体" w:eastAsia="黑体"/>
          <w:bCs/>
          <w:sz w:val="28"/>
          <w:szCs w:val="24"/>
          <w:highlight w:val="none"/>
        </w:rPr>
      </w:pPr>
      <w:r>
        <w:rPr>
          <w:rFonts w:hint="eastAsia" w:ascii="黑体" w:hAnsi="黑体" w:eastAsia="黑体"/>
          <w:bCs/>
          <w:sz w:val="28"/>
          <w:szCs w:val="24"/>
          <w:highlight w:val="none"/>
        </w:rPr>
        <w:br w:type="page"/>
      </w:r>
      <w:r>
        <w:rPr>
          <w:rFonts w:hint="eastAsia" w:ascii="黑体" w:hAnsi="黑体" w:eastAsia="黑体"/>
          <w:bCs/>
          <w:sz w:val="28"/>
          <w:szCs w:val="24"/>
          <w:highlight w:val="none"/>
        </w:rPr>
        <w:t>授权委托书</w:t>
      </w:r>
    </w:p>
    <w:p w14:paraId="38DD7CDB">
      <w:pPr>
        <w:topLinePunct/>
        <w:spacing w:line="440" w:lineRule="exact"/>
        <w:ind w:firstLine="640" w:firstLineChars="200"/>
        <w:rPr>
          <w:rFonts w:ascii="Times New Roman" w:hAnsi="Times New Roman"/>
          <w:highlight w:val="none"/>
        </w:rPr>
      </w:pPr>
    </w:p>
    <w:p w14:paraId="441DB381">
      <w:pPr>
        <w:topLinePunct/>
        <w:spacing w:line="440" w:lineRule="exact"/>
        <w:ind w:firstLine="640" w:firstLineChars="200"/>
        <w:rPr>
          <w:rFonts w:ascii="Times New Roman" w:hAnsi="Times New Roman"/>
          <w:highlight w:val="none"/>
        </w:rPr>
      </w:pPr>
      <w:r>
        <w:rPr>
          <w:rFonts w:ascii="Times New Roman" w:hAnsi="Times New Roman"/>
          <w:highlight w:val="none"/>
        </w:rPr>
        <w:t>本人</w:t>
      </w:r>
      <w:r>
        <w:rPr>
          <w:rFonts w:ascii="Times New Roman" w:hAnsi="Times New Roman"/>
          <w:highlight w:val="none"/>
          <w:u w:val="single"/>
        </w:rPr>
        <w:t xml:space="preserve">              （姓名）</w:t>
      </w:r>
      <w:r>
        <w:rPr>
          <w:rFonts w:ascii="Times New Roman" w:hAnsi="Times New Roman"/>
          <w:highlight w:val="none"/>
        </w:rPr>
        <w:t>系</w:t>
      </w:r>
      <w:r>
        <w:rPr>
          <w:rFonts w:ascii="Times New Roman" w:hAnsi="Times New Roman"/>
          <w:highlight w:val="none"/>
          <w:u w:val="single"/>
        </w:rPr>
        <w:t xml:space="preserve">                  （</w:t>
      </w:r>
      <w:r>
        <w:rPr>
          <w:rFonts w:hint="eastAsia" w:ascii="Times New Roman" w:hAnsi="Times New Roman"/>
          <w:highlight w:val="none"/>
          <w:u w:val="single"/>
        </w:rPr>
        <w:t>供应商</w:t>
      </w:r>
      <w:r>
        <w:rPr>
          <w:rFonts w:ascii="Times New Roman" w:hAnsi="Times New Roman"/>
          <w:highlight w:val="none"/>
          <w:u w:val="single"/>
        </w:rPr>
        <w:t>名称）</w:t>
      </w:r>
      <w:r>
        <w:rPr>
          <w:rFonts w:ascii="Times New Roman" w:hAnsi="Times New Roman"/>
          <w:highlight w:val="none"/>
        </w:rPr>
        <w:t>的法定代表人（单位负责人），现委托</w:t>
      </w:r>
      <w:r>
        <w:rPr>
          <w:rFonts w:ascii="Times New Roman" w:hAnsi="Times New Roman"/>
          <w:highlight w:val="none"/>
          <w:u w:val="single"/>
        </w:rPr>
        <w:t xml:space="preserve">            （姓名）</w:t>
      </w:r>
      <w:r>
        <w:rPr>
          <w:rFonts w:ascii="Times New Roman" w:hAnsi="Times New Roman"/>
          <w:highlight w:val="none"/>
        </w:rPr>
        <w:t>为我方代理人。代理人根据授权，以我方名义签署、澄清确认、递交、撤回、修改</w:t>
      </w:r>
      <w:r>
        <w:rPr>
          <w:rFonts w:hint="eastAsia" w:ascii="Times New Roman" w:hAnsi="Times New Roman"/>
          <w:highlight w:val="none"/>
          <w:u w:val="single"/>
          <w:lang w:val="en-US" w:eastAsia="zh-CN"/>
        </w:rPr>
        <w:t xml:space="preserve">                </w:t>
      </w:r>
      <w:r>
        <w:rPr>
          <w:rFonts w:hint="eastAsia" w:ascii="Times New Roman" w:hAnsi="Times New Roman"/>
          <w:highlight w:val="none"/>
        </w:rPr>
        <w:t>询比采购项目响应文件</w:t>
      </w:r>
      <w:r>
        <w:rPr>
          <w:rFonts w:ascii="Times New Roman" w:hAnsi="Times New Roman"/>
          <w:highlight w:val="none"/>
        </w:rPr>
        <w:t>、签订合同和处理有关事宜，其法律后果由我方承担。</w:t>
      </w:r>
    </w:p>
    <w:p w14:paraId="3DAAEAD7">
      <w:pPr>
        <w:spacing w:line="440" w:lineRule="exact"/>
        <w:ind w:firstLine="640" w:firstLineChars="200"/>
        <w:rPr>
          <w:rFonts w:ascii="Times New Roman" w:hAnsi="Times New Roman"/>
          <w:highlight w:val="none"/>
        </w:rPr>
      </w:pPr>
      <w:r>
        <w:rPr>
          <w:rFonts w:ascii="Times New Roman" w:hAnsi="Times New Roman"/>
          <w:highlight w:val="none"/>
        </w:rPr>
        <w:t>委托期限：</w:t>
      </w:r>
      <w:r>
        <w:rPr>
          <w:rFonts w:hint="eastAsia" w:ascii="Times New Roman" w:hAnsi="Times New Roman"/>
          <w:highlight w:val="none"/>
        </w:rPr>
        <w:t>自本委托书签署之日起至</w:t>
      </w:r>
      <w:r>
        <w:rPr>
          <w:rFonts w:hint="eastAsia" w:ascii="Times New Roman" w:hAnsi="Times New Roman"/>
          <w:highlight w:val="none"/>
          <w:u w:val="single"/>
          <w:lang w:val="en-US" w:eastAsia="zh-CN"/>
        </w:rPr>
        <w:t xml:space="preserve">              </w:t>
      </w:r>
      <w:r>
        <w:rPr>
          <w:rFonts w:hint="eastAsia" w:ascii="Times New Roman" w:hAnsi="Times New Roman"/>
          <w:highlight w:val="none"/>
        </w:rPr>
        <w:t>询比采购项目签订成交合同之日止。</w:t>
      </w:r>
    </w:p>
    <w:p w14:paraId="50FC6582">
      <w:pPr>
        <w:spacing w:line="440" w:lineRule="exact"/>
        <w:ind w:firstLine="640" w:firstLineChars="200"/>
        <w:rPr>
          <w:rFonts w:ascii="Times New Roman" w:hAnsi="Times New Roman"/>
          <w:highlight w:val="none"/>
        </w:rPr>
      </w:pPr>
      <w:r>
        <w:rPr>
          <w:rFonts w:ascii="Times New Roman" w:hAnsi="Times New Roman"/>
          <w:highlight w:val="none"/>
        </w:rPr>
        <w:t>代理人无转委托权。</w:t>
      </w:r>
    </w:p>
    <w:p w14:paraId="19DB6E31">
      <w:pPr>
        <w:spacing w:line="440" w:lineRule="exact"/>
        <w:ind w:firstLine="640" w:firstLineChars="200"/>
        <w:rPr>
          <w:rFonts w:ascii="Times New Roman" w:hAnsi="Times New Roman"/>
          <w:highlight w:val="none"/>
        </w:rPr>
      </w:pPr>
    </w:p>
    <w:p w14:paraId="64488BEF">
      <w:pPr>
        <w:snapToGrid w:val="0"/>
        <w:ind w:firstLine="480"/>
        <w:rPr>
          <w:rFonts w:ascii="宋体" w:hAnsi="宋体"/>
          <w:szCs w:val="21"/>
          <w:highlight w:val="none"/>
        </w:rPr>
      </w:pPr>
      <w:r>
        <w:rPr>
          <w:rFonts w:hint="eastAsia" w:ascii="宋体" w:hAnsi="宋体"/>
          <w:szCs w:val="21"/>
          <w:highlight w:val="none"/>
        </w:rPr>
        <w:t>附：</w:t>
      </w:r>
      <w:r>
        <w:rPr>
          <w:rFonts w:hint="eastAsia"/>
          <w:szCs w:val="21"/>
          <w:highlight w:val="none"/>
        </w:rPr>
        <w:t>代理人身份证</w:t>
      </w:r>
      <w:r>
        <w:rPr>
          <w:rFonts w:hint="eastAsia"/>
          <w:b/>
          <w:bCs/>
          <w:szCs w:val="21"/>
          <w:highlight w:val="none"/>
        </w:rPr>
        <w:t>正反面</w:t>
      </w:r>
      <w:r>
        <w:rPr>
          <w:rFonts w:hint="eastAsia"/>
          <w:szCs w:val="21"/>
          <w:highlight w:val="none"/>
          <w:lang w:val="en-US" w:eastAsia="zh-CN"/>
        </w:rPr>
        <w:t>复印</w:t>
      </w:r>
      <w:r>
        <w:rPr>
          <w:rFonts w:hint="eastAsia"/>
          <w:szCs w:val="21"/>
          <w:highlight w:val="none"/>
        </w:rPr>
        <w:t>件</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7000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4" w:hRule="atLeast"/>
          <w:jc w:val="center"/>
        </w:trPr>
        <w:tc>
          <w:tcPr>
            <w:tcW w:w="4258" w:type="dxa"/>
            <w:noWrap w:val="0"/>
            <w:vAlign w:val="top"/>
          </w:tcPr>
          <w:p w14:paraId="54C52AD3">
            <w:pPr>
              <w:spacing w:line="360" w:lineRule="auto"/>
              <w:jc w:val="center"/>
              <w:rPr>
                <w:rFonts w:hint="eastAsia" w:hAnsi="宋体"/>
                <w:b/>
                <w:bCs/>
                <w:sz w:val="28"/>
                <w:szCs w:val="20"/>
                <w:highlight w:val="none"/>
              </w:rPr>
            </w:pPr>
          </w:p>
          <w:p w14:paraId="5356E6EC">
            <w:pPr>
              <w:spacing w:line="360" w:lineRule="auto"/>
              <w:jc w:val="center"/>
              <w:rPr>
                <w:rFonts w:hint="eastAsia" w:hAnsi="宋体"/>
                <w:b/>
                <w:bCs/>
                <w:sz w:val="28"/>
                <w:szCs w:val="20"/>
                <w:highlight w:val="none"/>
              </w:rPr>
            </w:pPr>
          </w:p>
          <w:p w14:paraId="35920830">
            <w:pPr>
              <w:spacing w:line="360" w:lineRule="auto"/>
              <w:jc w:val="center"/>
              <w:rPr>
                <w:rFonts w:hint="eastAsia" w:hAnsi="宋体"/>
                <w:b/>
                <w:bCs/>
                <w:sz w:val="28"/>
                <w:szCs w:val="20"/>
                <w:highlight w:val="none"/>
              </w:rPr>
            </w:pPr>
            <w:r>
              <w:rPr>
                <w:rFonts w:hint="eastAsia" w:hAnsi="宋体"/>
                <w:b/>
                <w:bCs/>
                <w:sz w:val="28"/>
                <w:szCs w:val="20"/>
                <w:highlight w:val="none"/>
              </w:rPr>
              <w:t>代理人身份证正面</w:t>
            </w:r>
            <w:r>
              <w:rPr>
                <w:rFonts w:hint="eastAsia" w:hAnsi="宋体"/>
                <w:b/>
                <w:bCs/>
                <w:sz w:val="28"/>
                <w:szCs w:val="20"/>
                <w:highlight w:val="none"/>
                <w:lang w:val="en-US" w:eastAsia="zh-CN"/>
              </w:rPr>
              <w:t>复印</w:t>
            </w:r>
            <w:r>
              <w:rPr>
                <w:rFonts w:hint="eastAsia" w:hAnsi="宋体"/>
                <w:b/>
                <w:bCs/>
                <w:sz w:val="28"/>
                <w:szCs w:val="20"/>
                <w:highlight w:val="none"/>
              </w:rPr>
              <w:t>件</w:t>
            </w:r>
          </w:p>
        </w:tc>
        <w:tc>
          <w:tcPr>
            <w:tcW w:w="4258" w:type="dxa"/>
            <w:noWrap w:val="0"/>
            <w:vAlign w:val="top"/>
          </w:tcPr>
          <w:p w14:paraId="2254F6CC">
            <w:pPr>
              <w:spacing w:line="360" w:lineRule="auto"/>
              <w:jc w:val="center"/>
              <w:rPr>
                <w:rFonts w:hint="eastAsia" w:hAnsi="宋体"/>
                <w:b/>
                <w:bCs/>
                <w:sz w:val="28"/>
                <w:szCs w:val="20"/>
                <w:highlight w:val="none"/>
              </w:rPr>
            </w:pPr>
          </w:p>
          <w:p w14:paraId="0EE35109">
            <w:pPr>
              <w:spacing w:line="360" w:lineRule="auto"/>
              <w:jc w:val="center"/>
              <w:rPr>
                <w:rFonts w:hint="eastAsia" w:hAnsi="宋体"/>
                <w:b/>
                <w:bCs/>
                <w:sz w:val="28"/>
                <w:szCs w:val="20"/>
                <w:highlight w:val="none"/>
              </w:rPr>
            </w:pPr>
          </w:p>
          <w:p w14:paraId="5156E69F">
            <w:pPr>
              <w:spacing w:line="360" w:lineRule="auto"/>
              <w:jc w:val="center"/>
              <w:rPr>
                <w:rFonts w:hint="eastAsia" w:hAnsi="宋体"/>
                <w:b/>
                <w:bCs/>
                <w:sz w:val="28"/>
                <w:szCs w:val="20"/>
                <w:highlight w:val="none"/>
              </w:rPr>
            </w:pPr>
            <w:r>
              <w:rPr>
                <w:rFonts w:hint="eastAsia" w:hAnsi="宋体"/>
                <w:b/>
                <w:bCs/>
                <w:sz w:val="28"/>
                <w:szCs w:val="20"/>
                <w:highlight w:val="none"/>
              </w:rPr>
              <w:t>代理人身份证</w:t>
            </w:r>
            <w:r>
              <w:rPr>
                <w:rFonts w:hint="eastAsia" w:hAnsi="宋体"/>
                <w:b/>
                <w:bCs/>
                <w:sz w:val="28"/>
                <w:szCs w:val="20"/>
                <w:highlight w:val="none"/>
                <w:lang w:val="en-US" w:eastAsia="zh-CN"/>
              </w:rPr>
              <w:t>复印</w:t>
            </w:r>
            <w:r>
              <w:rPr>
                <w:rFonts w:hint="eastAsia" w:hAnsi="宋体"/>
                <w:b/>
                <w:bCs/>
                <w:sz w:val="28"/>
                <w:szCs w:val="20"/>
                <w:highlight w:val="none"/>
              </w:rPr>
              <w:t>件</w:t>
            </w:r>
          </w:p>
        </w:tc>
      </w:tr>
    </w:tbl>
    <w:p w14:paraId="7FAE01F0">
      <w:pPr>
        <w:spacing w:line="440" w:lineRule="exact"/>
        <w:rPr>
          <w:rFonts w:ascii="Times New Roman" w:hAnsi="Times New Roman"/>
          <w:highlight w:val="none"/>
        </w:rPr>
      </w:pPr>
    </w:p>
    <w:p w14:paraId="12E6CE9C">
      <w:pPr>
        <w:spacing w:line="440" w:lineRule="exact"/>
        <w:rPr>
          <w:rFonts w:ascii="Times New Roman" w:hAnsi="Times New Roman"/>
          <w:highlight w:val="none"/>
        </w:rPr>
      </w:pPr>
    </w:p>
    <w:p w14:paraId="3B476117">
      <w:pPr>
        <w:spacing w:line="440" w:lineRule="exact"/>
        <w:ind w:firstLine="4102" w:firstLineChars="1282"/>
        <w:rPr>
          <w:rFonts w:ascii="Times New Roman" w:hAnsi="Times New Roman"/>
          <w:highlight w:val="none"/>
        </w:rPr>
      </w:pPr>
      <w:r>
        <w:rPr>
          <w:rFonts w:hint="eastAsia" w:ascii="Times New Roman" w:hAnsi="Times New Roman"/>
          <w:highlight w:val="none"/>
        </w:rPr>
        <w:t>供应商</w:t>
      </w:r>
      <w:r>
        <w:rPr>
          <w:rFonts w:ascii="Times New Roman" w:hAnsi="Times New Roman"/>
          <w:highlight w:val="none"/>
        </w:rPr>
        <w:t>：</w:t>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 xml:space="preserve"> </w:t>
      </w:r>
      <w:r>
        <w:rPr>
          <w:rFonts w:ascii="Times New Roman" w:hAnsi="Times New Roman"/>
          <w:highlight w:val="none"/>
          <w:u w:val="single"/>
        </w:rPr>
        <w:t>（</w:t>
      </w:r>
      <w:r>
        <w:rPr>
          <w:rFonts w:hint="eastAsia" w:ascii="Times New Roman" w:hAnsi="Times New Roman"/>
          <w:highlight w:val="none"/>
          <w:u w:val="single"/>
        </w:rPr>
        <w:t>盖</w:t>
      </w:r>
      <w:r>
        <w:rPr>
          <w:rFonts w:ascii="Times New Roman" w:hAnsi="Times New Roman"/>
          <w:highlight w:val="none"/>
          <w:u w:val="single"/>
        </w:rPr>
        <w:t>单位章）</w:t>
      </w:r>
    </w:p>
    <w:p w14:paraId="184ECE00">
      <w:pPr>
        <w:spacing w:line="440" w:lineRule="exact"/>
        <w:jc w:val="right"/>
        <w:rPr>
          <w:rFonts w:ascii="Times New Roman" w:hAnsi="Times New Roman"/>
          <w:highlight w:val="none"/>
        </w:rPr>
      </w:pPr>
      <w:r>
        <w:rPr>
          <w:rFonts w:ascii="Times New Roman" w:hAnsi="Times New Roman"/>
          <w:highlight w:val="none"/>
        </w:rPr>
        <w:t>法定代表人（单位负责人）：</w:t>
      </w:r>
      <w:r>
        <w:rPr>
          <w:rFonts w:ascii="Times New Roman" w:hAnsi="Times New Roman"/>
          <w:szCs w:val="21"/>
          <w:highlight w:val="none"/>
          <w:u w:val="single"/>
        </w:rPr>
        <w:tab/>
      </w:r>
      <w:r>
        <w:rPr>
          <w:rFonts w:ascii="Times New Roman" w:hAnsi="Times New Roman"/>
          <w:szCs w:val="21"/>
          <w:highlight w:val="none"/>
          <w:u w:val="single"/>
        </w:rPr>
        <w:tab/>
      </w:r>
      <w:r>
        <w:rPr>
          <w:rFonts w:ascii="Times New Roman" w:hAnsi="Times New Roman"/>
          <w:szCs w:val="21"/>
          <w:highlight w:val="none"/>
          <w:u w:val="single"/>
        </w:rPr>
        <w:t xml:space="preserve"> </w:t>
      </w:r>
      <w:r>
        <w:rPr>
          <w:rFonts w:ascii="Times New Roman" w:hAnsi="Times New Roman"/>
          <w:highlight w:val="none"/>
          <w:u w:val="single"/>
        </w:rPr>
        <w:t>（签字</w:t>
      </w:r>
      <w:r>
        <w:rPr>
          <w:rFonts w:hint="eastAsia" w:ascii="Times New Roman" w:hAnsi="Times New Roman"/>
          <w:highlight w:val="none"/>
          <w:u w:val="single"/>
        </w:rPr>
        <w:t>或盖章</w:t>
      </w:r>
      <w:r>
        <w:rPr>
          <w:rFonts w:ascii="Times New Roman" w:hAnsi="Times New Roman"/>
          <w:highlight w:val="none"/>
          <w:u w:val="single"/>
        </w:rPr>
        <w:t>）</w:t>
      </w:r>
    </w:p>
    <w:p w14:paraId="09350BBD">
      <w:pPr>
        <w:spacing w:line="440" w:lineRule="exact"/>
        <w:jc w:val="right"/>
        <w:rPr>
          <w:rFonts w:ascii="Times New Roman" w:hAnsi="Times New Roman"/>
          <w:highlight w:val="none"/>
        </w:rPr>
      </w:pPr>
      <w:r>
        <w:rPr>
          <w:rFonts w:ascii="Times New Roman" w:hAnsi="Times New Roman"/>
          <w:highlight w:val="none"/>
          <w:u w:val="single"/>
        </w:rPr>
        <w:t xml:space="preserve">       </w:t>
      </w:r>
      <w:r>
        <w:rPr>
          <w:rFonts w:ascii="Times New Roman" w:hAnsi="Times New Roman"/>
          <w:highlight w:val="none"/>
        </w:rPr>
        <w:t>年</w:t>
      </w:r>
      <w:r>
        <w:rPr>
          <w:rFonts w:ascii="Times New Roman" w:hAnsi="Times New Roman"/>
          <w:highlight w:val="none"/>
          <w:u w:val="single"/>
        </w:rPr>
        <w:t xml:space="preserve">       </w:t>
      </w:r>
      <w:r>
        <w:rPr>
          <w:rFonts w:ascii="Times New Roman" w:hAnsi="Times New Roman"/>
          <w:highlight w:val="none"/>
        </w:rPr>
        <w:t>月</w:t>
      </w:r>
      <w:r>
        <w:rPr>
          <w:rFonts w:ascii="Times New Roman" w:hAnsi="Times New Roman"/>
          <w:highlight w:val="none"/>
          <w:u w:val="single"/>
        </w:rPr>
        <w:t xml:space="preserve">       </w:t>
      </w:r>
      <w:r>
        <w:rPr>
          <w:rFonts w:ascii="Times New Roman" w:hAnsi="Times New Roman"/>
          <w:highlight w:val="none"/>
        </w:rPr>
        <w:t>日</w:t>
      </w:r>
    </w:p>
    <w:p w14:paraId="1204E788">
      <w:pPr>
        <w:spacing w:line="440" w:lineRule="exact"/>
        <w:rPr>
          <w:rFonts w:ascii="Times New Roman" w:hAnsi="Times New Roman"/>
          <w:highlight w:val="none"/>
        </w:rPr>
      </w:pPr>
    </w:p>
    <w:p w14:paraId="3572E07C">
      <w:pPr>
        <w:tabs>
          <w:tab w:val="left" w:pos="5760"/>
        </w:tabs>
        <w:autoSpaceDE w:val="0"/>
        <w:autoSpaceDN w:val="0"/>
        <w:adjustRightInd w:val="0"/>
        <w:ind w:right="11"/>
        <w:rPr>
          <w:rFonts w:hint="eastAsia"/>
          <w:sz w:val="24"/>
          <w:szCs w:val="24"/>
          <w:highlight w:val="none"/>
        </w:rPr>
      </w:pPr>
      <w:r>
        <w:rPr>
          <w:rFonts w:hint="eastAsia"/>
          <w:sz w:val="24"/>
          <w:szCs w:val="24"/>
          <w:highlight w:val="none"/>
        </w:rPr>
        <w:t>注：法定代表人</w:t>
      </w:r>
      <w:r>
        <w:rPr>
          <w:rFonts w:ascii="Times New Roman" w:hAnsi="Times New Roman"/>
          <w:sz w:val="24"/>
          <w:szCs w:val="24"/>
          <w:highlight w:val="none"/>
        </w:rPr>
        <w:t>（单位负责人）</w:t>
      </w:r>
      <w:r>
        <w:rPr>
          <w:rFonts w:hint="eastAsia"/>
          <w:sz w:val="24"/>
          <w:szCs w:val="24"/>
          <w:highlight w:val="none"/>
        </w:rPr>
        <w:t>参加询比采购活动并签署文件的不需要授权委托书，只需提供法定代表人</w:t>
      </w:r>
      <w:r>
        <w:rPr>
          <w:rFonts w:ascii="Times New Roman" w:hAnsi="Times New Roman"/>
          <w:sz w:val="24"/>
          <w:szCs w:val="24"/>
          <w:highlight w:val="none"/>
        </w:rPr>
        <w:t>（单位负责人）</w:t>
      </w:r>
      <w:r>
        <w:rPr>
          <w:rFonts w:hint="eastAsia"/>
          <w:sz w:val="24"/>
          <w:szCs w:val="24"/>
          <w:highlight w:val="none"/>
        </w:rPr>
        <w:t>身份证明；</w:t>
      </w:r>
    </w:p>
    <w:p w14:paraId="4E0FC6A9">
      <w:pPr>
        <w:tabs>
          <w:tab w:val="left" w:pos="5760"/>
        </w:tabs>
        <w:autoSpaceDE w:val="0"/>
        <w:autoSpaceDN w:val="0"/>
        <w:adjustRightInd w:val="0"/>
        <w:ind w:right="11"/>
        <w:rPr>
          <w:rFonts w:hint="eastAsia" w:ascii="仿宋" w:hAnsi="仿宋" w:eastAsia="方正仿宋_GB2312"/>
          <w:b/>
          <w:bCs/>
          <w:highlight w:val="none"/>
          <w:lang w:eastAsia="zh-CN"/>
        </w:rPr>
      </w:pPr>
      <w:r>
        <w:rPr>
          <w:rFonts w:hint="eastAsia"/>
          <w:sz w:val="24"/>
          <w:szCs w:val="24"/>
          <w:highlight w:val="none"/>
        </w:rPr>
        <w:t>非法定代表人</w:t>
      </w:r>
      <w:r>
        <w:rPr>
          <w:rFonts w:ascii="Times New Roman" w:hAnsi="Times New Roman"/>
          <w:sz w:val="24"/>
          <w:szCs w:val="24"/>
          <w:highlight w:val="none"/>
        </w:rPr>
        <w:t>（单位负责人）</w:t>
      </w:r>
      <w:r>
        <w:rPr>
          <w:rFonts w:hint="eastAsia"/>
          <w:sz w:val="24"/>
          <w:szCs w:val="24"/>
          <w:highlight w:val="none"/>
        </w:rPr>
        <w:t>参加询比采购活动及签署文件的还须提供授权委托书</w:t>
      </w:r>
      <w:r>
        <w:rPr>
          <w:rFonts w:hint="eastAsia"/>
          <w:sz w:val="24"/>
          <w:szCs w:val="24"/>
          <w:highlight w:val="none"/>
          <w:lang w:eastAsia="zh-CN"/>
        </w:rPr>
        <w:t>。</w:t>
      </w:r>
    </w:p>
    <w:p w14:paraId="76DCAE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bCs/>
          <w:highlight w:val="none"/>
        </w:rPr>
      </w:pPr>
      <w:r>
        <w:rPr>
          <w:rFonts w:hint="eastAsia" w:ascii="仿宋" w:hAnsi="仿宋" w:eastAsia="仿宋"/>
          <w:b/>
          <w:bCs/>
          <w:highlight w:val="none"/>
        </w:rPr>
        <w:t>附件3：供应商承诺书</w:t>
      </w:r>
    </w:p>
    <w:p w14:paraId="1386E77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b/>
          <w:bCs/>
          <w:highlight w:val="none"/>
        </w:rPr>
      </w:pPr>
      <w:r>
        <w:rPr>
          <w:rFonts w:hint="eastAsia" w:ascii="仿宋" w:hAnsi="仿宋" w:eastAsia="仿宋"/>
          <w:b/>
          <w:bCs/>
          <w:highlight w:val="none"/>
        </w:rPr>
        <w:t>承 诺 书</w:t>
      </w:r>
    </w:p>
    <w:p w14:paraId="1A90B4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highlight w:val="none"/>
        </w:rPr>
      </w:pPr>
      <w:r>
        <w:rPr>
          <w:rFonts w:hint="eastAsia" w:ascii="仿宋" w:hAnsi="仿宋" w:eastAsia="仿宋"/>
          <w:highlight w:val="none"/>
        </w:rPr>
        <w:t>致：安徽省机械化粮库</w:t>
      </w:r>
    </w:p>
    <w:p w14:paraId="3C686F7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highlight w:val="none"/>
        </w:rPr>
      </w:pPr>
      <w:r>
        <w:rPr>
          <w:rFonts w:hint="eastAsia" w:ascii="仿宋" w:hAnsi="仿宋" w:eastAsia="仿宋"/>
          <w:highlight w:val="none"/>
        </w:rPr>
        <w:t>本单位自愿参加</w:t>
      </w:r>
      <w:r>
        <w:rPr>
          <w:rFonts w:hint="eastAsia" w:ascii="仿宋" w:hAnsi="仿宋" w:eastAsia="仿宋" w:cs="Times New Roman"/>
          <w:highlight w:val="none"/>
        </w:rPr>
        <w:t>安徽省机械化粮库</w:t>
      </w:r>
      <w:r>
        <w:rPr>
          <w:rFonts w:hint="eastAsia" w:ascii="仿宋" w:hAnsi="仿宋" w:eastAsia="仿宋" w:cs="Times New Roman"/>
          <w:highlight w:val="none"/>
          <w:lang w:val="en-US" w:eastAsia="zh-CN"/>
        </w:rPr>
        <w:t>搬迁服务项目标段二</w:t>
      </w:r>
      <w:r>
        <w:rPr>
          <w:rFonts w:hint="eastAsia" w:ascii="仿宋" w:hAnsi="仿宋" w:eastAsia="仿宋" w:cs="Times New Roman"/>
          <w:highlight w:val="none"/>
        </w:rPr>
        <w:t>空调设备拆装</w:t>
      </w:r>
      <w:r>
        <w:rPr>
          <w:rFonts w:hint="eastAsia" w:ascii="仿宋" w:hAnsi="仿宋" w:eastAsia="仿宋" w:cs="Times New Roman"/>
          <w:highlight w:val="none"/>
          <w:lang w:val="en-US" w:eastAsia="zh-CN"/>
        </w:rPr>
        <w:t>服务二次采购项目</w:t>
      </w:r>
      <w:r>
        <w:rPr>
          <w:rFonts w:hint="eastAsia" w:ascii="仿宋" w:hAnsi="仿宋" w:eastAsia="仿宋"/>
          <w:highlight w:val="none"/>
        </w:rPr>
        <w:t>，郑重承诺如下：</w:t>
      </w:r>
    </w:p>
    <w:p w14:paraId="4F31D33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highlight w:val="none"/>
        </w:rPr>
      </w:pPr>
      <w:r>
        <w:rPr>
          <w:rFonts w:ascii="仿宋" w:hAnsi="仿宋" w:eastAsia="仿宋"/>
          <w:highlight w:val="none"/>
        </w:rPr>
        <w:t>1.</w:t>
      </w:r>
      <w:r>
        <w:rPr>
          <w:rFonts w:hint="eastAsia" w:ascii="仿宋" w:hAnsi="仿宋" w:eastAsia="仿宋"/>
          <w:highlight w:val="none"/>
        </w:rPr>
        <w:t>本单位营业执照、资质材料真实有效，近三年无重大违法记录、无失信不良记录。</w:t>
      </w:r>
    </w:p>
    <w:p w14:paraId="457FF4F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highlight w:val="none"/>
        </w:rPr>
      </w:pPr>
      <w:r>
        <w:rPr>
          <w:rFonts w:ascii="仿宋" w:hAnsi="仿宋" w:eastAsia="仿宋"/>
          <w:highlight w:val="none"/>
        </w:rPr>
        <w:t>2.</w:t>
      </w:r>
      <w:r>
        <w:rPr>
          <w:rFonts w:hint="eastAsia" w:ascii="仿宋" w:hAnsi="仿宋" w:eastAsia="仿宋"/>
          <w:highlight w:val="none"/>
        </w:rPr>
        <w:t>已自行踏勘现场，充分知晓全部</w:t>
      </w:r>
      <w:r>
        <w:rPr>
          <w:rFonts w:hint="eastAsia" w:ascii="仿宋" w:hAnsi="仿宋" w:eastAsia="仿宋"/>
          <w:highlight w:val="none"/>
          <w:lang w:val="en-US" w:eastAsia="zh-CN"/>
        </w:rPr>
        <w:t>采购</w:t>
      </w:r>
      <w:r>
        <w:rPr>
          <w:rFonts w:hint="eastAsia" w:ascii="仿宋" w:hAnsi="仿宋" w:eastAsia="仿宋"/>
          <w:highlight w:val="none"/>
        </w:rPr>
        <w:t>范围、结算规则，报价为全费用包干价，不存在漏项，除采购人书面变更外，不再申请任何增项加价。</w:t>
      </w:r>
    </w:p>
    <w:p w14:paraId="747B144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highlight w:val="none"/>
        </w:rPr>
      </w:pPr>
      <w:r>
        <w:rPr>
          <w:rFonts w:hint="eastAsia" w:ascii="仿宋" w:hAnsi="仿宋" w:eastAsia="仿宋"/>
          <w:highlight w:val="none"/>
          <w:lang w:val="en-US" w:eastAsia="zh-CN"/>
        </w:rPr>
        <w:t>3</w:t>
      </w:r>
      <w:r>
        <w:rPr>
          <w:rFonts w:ascii="仿宋" w:hAnsi="仿宋" w:eastAsia="仿宋"/>
          <w:highlight w:val="none"/>
        </w:rPr>
        <w:t>.</w:t>
      </w:r>
      <w:r>
        <w:rPr>
          <w:rFonts w:hint="eastAsia" w:ascii="仿宋" w:hAnsi="仿宋" w:eastAsia="仿宋"/>
          <w:highlight w:val="none"/>
        </w:rPr>
        <w:t>因供应商</w:t>
      </w:r>
      <w:r>
        <w:rPr>
          <w:rFonts w:hint="eastAsia" w:ascii="仿宋" w:hAnsi="仿宋" w:eastAsia="仿宋"/>
          <w:highlight w:val="none"/>
          <w:lang w:val="en-US" w:eastAsia="zh-CN"/>
        </w:rPr>
        <w:t>实施过程</w:t>
      </w:r>
      <w:r>
        <w:rPr>
          <w:rFonts w:hint="eastAsia" w:ascii="仿宋" w:hAnsi="仿宋" w:eastAsia="仿宋"/>
          <w:highlight w:val="none"/>
        </w:rPr>
        <w:t>原因造成的安全事故、人员伤害、财产损失由供应商承担，采购人仅对其提供的现场条件承担基础责任。</w:t>
      </w:r>
    </w:p>
    <w:p w14:paraId="5DDC2A3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highlight w:val="none"/>
        </w:rPr>
      </w:pPr>
      <w:r>
        <w:rPr>
          <w:rFonts w:hint="eastAsia" w:ascii="仿宋" w:hAnsi="仿宋" w:eastAsia="仿宋"/>
          <w:highlight w:val="none"/>
          <w:lang w:val="en-US" w:eastAsia="zh-CN"/>
        </w:rPr>
        <w:t>4</w:t>
      </w:r>
      <w:r>
        <w:rPr>
          <w:rFonts w:ascii="仿宋" w:hAnsi="仿宋" w:eastAsia="仿宋"/>
          <w:highlight w:val="none"/>
        </w:rPr>
        <w:t>.</w:t>
      </w:r>
      <w:r>
        <w:rPr>
          <w:rFonts w:hint="eastAsia" w:ascii="仿宋" w:hAnsi="仿宋" w:eastAsia="仿宋"/>
          <w:highlight w:val="none"/>
        </w:rPr>
        <w:t>若违反以上承诺，我方愿意承担一切违约责任。</w:t>
      </w:r>
    </w:p>
    <w:p w14:paraId="13754160">
      <w:pPr>
        <w:pStyle w:val="2"/>
        <w:rPr>
          <w:rFonts w:hint="eastAsia" w:ascii="仿宋" w:hAnsi="仿宋" w:eastAsia="仿宋"/>
          <w:highlight w:val="none"/>
        </w:rPr>
      </w:pPr>
    </w:p>
    <w:p w14:paraId="1749A3CE">
      <w:pPr>
        <w:rPr>
          <w:rFonts w:hint="eastAsia"/>
        </w:rPr>
      </w:pPr>
    </w:p>
    <w:p w14:paraId="2BB8FE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highlight w:val="none"/>
        </w:rPr>
      </w:pPr>
      <w:r>
        <w:rPr>
          <w:rFonts w:ascii="仿宋" w:hAnsi="仿宋" w:eastAsia="仿宋"/>
          <w:highlight w:val="none"/>
        </w:rPr>
        <w:t xml:space="preserve"> </w:t>
      </w:r>
      <w:r>
        <w:rPr>
          <w:rFonts w:hint="eastAsia" w:ascii="仿宋" w:hAnsi="仿宋" w:eastAsia="仿宋"/>
          <w:highlight w:val="none"/>
        </w:rPr>
        <w:t xml:space="preserve">                    承诺单位（盖章）：</w:t>
      </w:r>
    </w:p>
    <w:p w14:paraId="73058432">
      <w:pPr>
        <w:keepNext w:val="0"/>
        <w:keepLines w:val="0"/>
        <w:pageBreakBefore w:val="0"/>
        <w:widowControl w:val="0"/>
        <w:kinsoku/>
        <w:wordWrap/>
        <w:overflowPunct/>
        <w:topLinePunct w:val="0"/>
        <w:autoSpaceDE/>
        <w:autoSpaceDN/>
        <w:bidi w:val="0"/>
        <w:adjustRightInd/>
        <w:snapToGrid/>
        <w:spacing w:line="360" w:lineRule="auto"/>
        <w:ind w:firstLine="3200" w:firstLineChars="1000"/>
        <w:textAlignment w:val="auto"/>
        <w:rPr>
          <w:rFonts w:hint="eastAsia" w:ascii="仿宋" w:hAnsi="仿宋" w:eastAsia="仿宋"/>
          <w:highlight w:val="none"/>
        </w:rPr>
      </w:pPr>
      <w:r>
        <w:rPr>
          <w:rFonts w:hint="eastAsia" w:ascii="仿宋" w:hAnsi="仿宋" w:eastAsia="仿宋"/>
          <w:highlight w:val="none"/>
        </w:rPr>
        <w:t>法定代表人/授权代表签字：</w:t>
      </w:r>
    </w:p>
    <w:p w14:paraId="52687450">
      <w:pPr>
        <w:keepNext w:val="0"/>
        <w:keepLines w:val="0"/>
        <w:pageBreakBefore w:val="0"/>
        <w:widowControl w:val="0"/>
        <w:kinsoku/>
        <w:wordWrap/>
        <w:overflowPunct/>
        <w:topLinePunct w:val="0"/>
        <w:autoSpaceDE/>
        <w:autoSpaceDN/>
        <w:bidi w:val="0"/>
        <w:adjustRightInd/>
        <w:snapToGrid/>
        <w:spacing w:line="360" w:lineRule="auto"/>
        <w:ind w:firstLine="5120" w:firstLineChars="1600"/>
        <w:textAlignment w:val="auto"/>
        <w:rPr>
          <w:rFonts w:hint="eastAsia" w:ascii="仿宋" w:hAnsi="仿宋" w:eastAsia="仿宋"/>
          <w:highlight w:val="none"/>
        </w:rPr>
      </w:pPr>
      <w:r>
        <w:rPr>
          <w:rFonts w:hint="eastAsia" w:ascii="仿宋" w:hAnsi="仿宋" w:eastAsia="仿宋"/>
          <w:highlight w:val="none"/>
        </w:rPr>
        <w:t>日期：</w:t>
      </w:r>
    </w:p>
    <w:p w14:paraId="3B0FB6A7">
      <w:pPr>
        <w:rPr>
          <w:rFonts w:hint="eastAsia" w:ascii="仿宋" w:hAnsi="仿宋" w:eastAsia="仿宋"/>
          <w:highlight w:val="none"/>
        </w:rPr>
      </w:pPr>
      <w:r>
        <w:rPr>
          <w:rFonts w:hint="eastAsia" w:ascii="仿宋" w:hAnsi="仿宋" w:eastAsia="仿宋"/>
          <w:highlight w:val="none"/>
        </w:rPr>
        <w:br w:type="page"/>
      </w:r>
    </w:p>
    <w:p w14:paraId="26A760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bCs/>
          <w:highlight w:val="none"/>
        </w:rPr>
      </w:pPr>
      <w:r>
        <w:rPr>
          <w:rFonts w:hint="eastAsia" w:ascii="仿宋" w:hAnsi="仿宋" w:eastAsia="仿宋"/>
          <w:b/>
          <w:bCs/>
          <w:highlight w:val="none"/>
          <w:lang w:val="en-US" w:eastAsia="zh-CN"/>
        </w:rPr>
        <w:t>附件4：</w:t>
      </w:r>
      <w:r>
        <w:rPr>
          <w:rFonts w:hint="eastAsia" w:ascii="仿宋" w:hAnsi="仿宋" w:eastAsia="仿宋"/>
          <w:b/>
          <w:bCs/>
          <w:highlight w:val="none"/>
        </w:rPr>
        <w:t>近年的类似项目情况表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0"/>
        <w:gridCol w:w="4906"/>
      </w:tblGrid>
      <w:tr w14:paraId="08EEA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8" w:type="dxa"/>
            <w:noWrap w:val="0"/>
            <w:vAlign w:val="top"/>
          </w:tcPr>
          <w:p w14:paraId="2D387097">
            <w:pPr>
              <w:spacing w:line="440" w:lineRule="exact"/>
              <w:jc w:val="center"/>
              <w:outlineLvl w:val="1"/>
              <w:rPr>
                <w:rFonts w:ascii="Times New Roman" w:hAnsi="Times New Roman"/>
                <w:highlight w:val="none"/>
              </w:rPr>
            </w:pPr>
            <w:r>
              <w:rPr>
                <w:rFonts w:hint="eastAsia" w:ascii="Times New Roman" w:hAnsi="Times New Roman"/>
                <w:highlight w:val="none"/>
              </w:rPr>
              <w:t>项目名称</w:t>
            </w:r>
          </w:p>
        </w:tc>
        <w:tc>
          <w:tcPr>
            <w:tcW w:w="5107" w:type="dxa"/>
            <w:noWrap w:val="0"/>
            <w:vAlign w:val="top"/>
          </w:tcPr>
          <w:p w14:paraId="426F3090">
            <w:pPr>
              <w:spacing w:line="440" w:lineRule="exact"/>
              <w:jc w:val="center"/>
              <w:outlineLvl w:val="1"/>
              <w:rPr>
                <w:rFonts w:ascii="Times New Roman" w:hAnsi="Times New Roman"/>
                <w:highlight w:val="none"/>
              </w:rPr>
            </w:pPr>
          </w:p>
        </w:tc>
      </w:tr>
      <w:tr w14:paraId="437F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8" w:type="dxa"/>
            <w:noWrap w:val="0"/>
            <w:vAlign w:val="top"/>
          </w:tcPr>
          <w:p w14:paraId="28E8CD7E">
            <w:pPr>
              <w:spacing w:line="440" w:lineRule="exact"/>
              <w:jc w:val="center"/>
              <w:outlineLvl w:val="1"/>
              <w:rPr>
                <w:rFonts w:ascii="Times New Roman" w:hAnsi="Times New Roman"/>
                <w:highlight w:val="none"/>
              </w:rPr>
            </w:pPr>
            <w:r>
              <w:rPr>
                <w:rFonts w:hint="eastAsia" w:ascii="Times New Roman" w:hAnsi="Times New Roman"/>
                <w:highlight w:val="none"/>
              </w:rPr>
              <w:t>服务内容</w:t>
            </w:r>
          </w:p>
        </w:tc>
        <w:tc>
          <w:tcPr>
            <w:tcW w:w="5107" w:type="dxa"/>
            <w:noWrap w:val="0"/>
            <w:vAlign w:val="top"/>
          </w:tcPr>
          <w:p w14:paraId="3D49140B">
            <w:pPr>
              <w:spacing w:line="440" w:lineRule="exact"/>
              <w:jc w:val="center"/>
              <w:outlineLvl w:val="1"/>
              <w:rPr>
                <w:rFonts w:ascii="Times New Roman" w:hAnsi="Times New Roman"/>
                <w:highlight w:val="none"/>
              </w:rPr>
            </w:pPr>
          </w:p>
        </w:tc>
      </w:tr>
      <w:tr w14:paraId="4C14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8" w:type="dxa"/>
            <w:noWrap w:val="0"/>
            <w:vAlign w:val="top"/>
          </w:tcPr>
          <w:p w14:paraId="0E25807B">
            <w:pPr>
              <w:spacing w:line="440" w:lineRule="exact"/>
              <w:jc w:val="center"/>
              <w:outlineLvl w:val="1"/>
              <w:rPr>
                <w:rFonts w:ascii="Times New Roman" w:hAnsi="Times New Roman"/>
                <w:highlight w:val="none"/>
              </w:rPr>
            </w:pPr>
            <w:r>
              <w:rPr>
                <w:rFonts w:hint="eastAsia" w:ascii="Times New Roman" w:hAnsi="Times New Roman"/>
                <w:highlight w:val="none"/>
              </w:rPr>
              <w:t>委托人/发包人名称</w:t>
            </w:r>
          </w:p>
        </w:tc>
        <w:tc>
          <w:tcPr>
            <w:tcW w:w="5107" w:type="dxa"/>
            <w:noWrap w:val="0"/>
            <w:vAlign w:val="top"/>
          </w:tcPr>
          <w:p w14:paraId="39BBDBF5">
            <w:pPr>
              <w:spacing w:line="440" w:lineRule="exact"/>
              <w:jc w:val="center"/>
              <w:outlineLvl w:val="1"/>
              <w:rPr>
                <w:rFonts w:ascii="Times New Roman" w:hAnsi="Times New Roman"/>
                <w:highlight w:val="none"/>
              </w:rPr>
            </w:pPr>
          </w:p>
        </w:tc>
      </w:tr>
      <w:tr w14:paraId="77FF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8" w:type="dxa"/>
            <w:noWrap w:val="0"/>
            <w:vAlign w:val="top"/>
          </w:tcPr>
          <w:p w14:paraId="10110DF8">
            <w:pPr>
              <w:spacing w:line="440" w:lineRule="exact"/>
              <w:jc w:val="center"/>
              <w:outlineLvl w:val="1"/>
              <w:rPr>
                <w:rFonts w:ascii="Times New Roman" w:hAnsi="Times New Roman"/>
                <w:highlight w:val="none"/>
              </w:rPr>
            </w:pPr>
            <w:r>
              <w:rPr>
                <w:rFonts w:hint="eastAsia" w:ascii="Times New Roman" w:hAnsi="Times New Roman"/>
                <w:highlight w:val="none"/>
              </w:rPr>
              <w:t>委托人/发包人联系人及电话</w:t>
            </w:r>
          </w:p>
        </w:tc>
        <w:tc>
          <w:tcPr>
            <w:tcW w:w="5107" w:type="dxa"/>
            <w:noWrap w:val="0"/>
            <w:vAlign w:val="top"/>
          </w:tcPr>
          <w:p w14:paraId="55AD4F00">
            <w:pPr>
              <w:spacing w:line="440" w:lineRule="exact"/>
              <w:jc w:val="center"/>
              <w:outlineLvl w:val="1"/>
              <w:rPr>
                <w:rFonts w:ascii="Times New Roman" w:hAnsi="Times New Roman"/>
                <w:highlight w:val="none"/>
              </w:rPr>
            </w:pPr>
          </w:p>
        </w:tc>
      </w:tr>
      <w:tr w14:paraId="356C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8" w:type="dxa"/>
            <w:noWrap w:val="0"/>
            <w:vAlign w:val="top"/>
          </w:tcPr>
          <w:p w14:paraId="71DBE5C8">
            <w:pPr>
              <w:spacing w:line="440" w:lineRule="exact"/>
              <w:jc w:val="center"/>
              <w:outlineLvl w:val="1"/>
              <w:rPr>
                <w:rFonts w:ascii="Times New Roman" w:hAnsi="Times New Roman"/>
                <w:highlight w:val="none"/>
              </w:rPr>
            </w:pPr>
            <w:r>
              <w:rPr>
                <w:rFonts w:hint="eastAsia" w:ascii="Times New Roman" w:hAnsi="Times New Roman"/>
                <w:highlight w:val="none"/>
              </w:rPr>
              <w:t>合同价格</w:t>
            </w:r>
          </w:p>
        </w:tc>
        <w:tc>
          <w:tcPr>
            <w:tcW w:w="5107" w:type="dxa"/>
            <w:noWrap w:val="0"/>
            <w:vAlign w:val="top"/>
          </w:tcPr>
          <w:p w14:paraId="69F78117">
            <w:pPr>
              <w:spacing w:line="440" w:lineRule="exact"/>
              <w:jc w:val="center"/>
              <w:outlineLvl w:val="1"/>
              <w:rPr>
                <w:rFonts w:ascii="Times New Roman" w:hAnsi="Times New Roman"/>
                <w:highlight w:val="none"/>
              </w:rPr>
            </w:pPr>
          </w:p>
        </w:tc>
      </w:tr>
      <w:tr w14:paraId="38C8C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8" w:type="dxa"/>
            <w:noWrap w:val="0"/>
            <w:vAlign w:val="top"/>
          </w:tcPr>
          <w:p w14:paraId="1957EA49">
            <w:pPr>
              <w:spacing w:line="440" w:lineRule="exact"/>
              <w:jc w:val="center"/>
              <w:outlineLvl w:val="1"/>
              <w:rPr>
                <w:rFonts w:ascii="Times New Roman" w:hAnsi="Times New Roman"/>
                <w:highlight w:val="none"/>
              </w:rPr>
            </w:pPr>
            <w:r>
              <w:rPr>
                <w:rFonts w:hint="eastAsia" w:ascii="Times New Roman" w:hAnsi="Times New Roman"/>
                <w:highlight w:val="none"/>
              </w:rPr>
              <w:t>项目负责人（如有）</w:t>
            </w:r>
          </w:p>
        </w:tc>
        <w:tc>
          <w:tcPr>
            <w:tcW w:w="5107" w:type="dxa"/>
            <w:noWrap w:val="0"/>
            <w:vAlign w:val="top"/>
          </w:tcPr>
          <w:p w14:paraId="15B3C1EB">
            <w:pPr>
              <w:spacing w:line="440" w:lineRule="exact"/>
              <w:jc w:val="center"/>
              <w:outlineLvl w:val="1"/>
              <w:rPr>
                <w:rFonts w:ascii="Times New Roman" w:hAnsi="Times New Roman"/>
                <w:highlight w:val="none"/>
              </w:rPr>
            </w:pPr>
          </w:p>
        </w:tc>
      </w:tr>
      <w:tr w14:paraId="76345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8" w:type="dxa"/>
            <w:noWrap w:val="0"/>
            <w:vAlign w:val="top"/>
          </w:tcPr>
          <w:p w14:paraId="5126416A">
            <w:pPr>
              <w:spacing w:line="440" w:lineRule="exact"/>
              <w:jc w:val="center"/>
              <w:outlineLvl w:val="1"/>
              <w:rPr>
                <w:rFonts w:ascii="Times New Roman" w:hAnsi="Times New Roman"/>
                <w:highlight w:val="none"/>
              </w:rPr>
            </w:pPr>
            <w:r>
              <w:rPr>
                <w:rFonts w:hint="eastAsia" w:ascii="Times New Roman" w:hAnsi="Times New Roman"/>
                <w:highlight w:val="none"/>
              </w:rPr>
              <w:t>项目概况及履约情况</w:t>
            </w:r>
          </w:p>
        </w:tc>
        <w:tc>
          <w:tcPr>
            <w:tcW w:w="5107" w:type="dxa"/>
            <w:noWrap w:val="0"/>
            <w:vAlign w:val="top"/>
          </w:tcPr>
          <w:p w14:paraId="2EEAE3B8">
            <w:pPr>
              <w:spacing w:line="440" w:lineRule="exact"/>
              <w:jc w:val="center"/>
              <w:outlineLvl w:val="1"/>
              <w:rPr>
                <w:rFonts w:ascii="Times New Roman" w:hAnsi="Times New Roman"/>
                <w:highlight w:val="none"/>
              </w:rPr>
            </w:pPr>
          </w:p>
        </w:tc>
      </w:tr>
      <w:tr w14:paraId="3B90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8" w:type="dxa"/>
            <w:noWrap w:val="0"/>
            <w:vAlign w:val="top"/>
          </w:tcPr>
          <w:p w14:paraId="00634577">
            <w:pPr>
              <w:spacing w:line="440" w:lineRule="exact"/>
              <w:jc w:val="center"/>
              <w:outlineLvl w:val="1"/>
              <w:rPr>
                <w:rFonts w:hint="eastAsia" w:ascii="Times New Roman" w:hAnsi="Times New Roman"/>
                <w:highlight w:val="none"/>
              </w:rPr>
            </w:pPr>
            <w:r>
              <w:rPr>
                <w:rFonts w:hint="eastAsia" w:ascii="Times New Roman" w:hAnsi="Times New Roman"/>
                <w:highlight w:val="none"/>
              </w:rPr>
              <w:t>备注</w:t>
            </w:r>
          </w:p>
        </w:tc>
        <w:tc>
          <w:tcPr>
            <w:tcW w:w="5107" w:type="dxa"/>
            <w:noWrap w:val="0"/>
            <w:vAlign w:val="top"/>
          </w:tcPr>
          <w:p w14:paraId="38BD49CF">
            <w:pPr>
              <w:spacing w:line="440" w:lineRule="exact"/>
              <w:jc w:val="center"/>
              <w:outlineLvl w:val="1"/>
              <w:rPr>
                <w:rFonts w:ascii="Times New Roman" w:hAnsi="Times New Roman"/>
                <w:highlight w:val="none"/>
              </w:rPr>
            </w:pPr>
          </w:p>
        </w:tc>
      </w:tr>
    </w:tbl>
    <w:p w14:paraId="397D3A32">
      <w:pPr>
        <w:spacing w:line="440" w:lineRule="exact"/>
        <w:jc w:val="left"/>
        <w:rPr>
          <w:rFonts w:hint="eastAsia" w:ascii="Times New Roman" w:hAnsi="Times New Roman"/>
          <w:highlight w:val="none"/>
        </w:rPr>
      </w:pPr>
      <w:r>
        <w:rPr>
          <w:rFonts w:hint="eastAsia" w:ascii="Times New Roman" w:hAnsi="Times New Roman"/>
          <w:highlight w:val="none"/>
        </w:rPr>
        <w:t>注：供应商根据</w:t>
      </w:r>
      <w:r>
        <w:rPr>
          <w:rFonts w:hint="eastAsia" w:ascii="Times New Roman" w:hAnsi="Times New Roman"/>
          <w:highlight w:val="none"/>
          <w:lang w:val="en-US" w:eastAsia="zh-CN"/>
        </w:rPr>
        <w:t>详细评审</w:t>
      </w:r>
      <w:r>
        <w:rPr>
          <w:rFonts w:hint="eastAsia" w:ascii="Times New Roman" w:hAnsi="Times New Roman"/>
          <w:highlight w:val="none"/>
        </w:rPr>
        <w:t>要求在本表后附相关证明</w:t>
      </w:r>
      <w:r>
        <w:rPr>
          <w:rFonts w:hint="eastAsia" w:ascii="Times New Roman" w:hAnsi="Times New Roman"/>
          <w:highlight w:val="none"/>
          <w:lang w:val="en-US" w:eastAsia="zh-CN"/>
        </w:rPr>
        <w:t>材</w:t>
      </w:r>
      <w:r>
        <w:rPr>
          <w:rFonts w:hint="eastAsia" w:ascii="Times New Roman" w:hAnsi="Times New Roman"/>
          <w:highlight w:val="none"/>
        </w:rPr>
        <w:t>料。</w:t>
      </w:r>
    </w:p>
    <w:p w14:paraId="7FBDDFE5">
      <w:pPr>
        <w:snapToGrid w:val="0"/>
        <w:jc w:val="center"/>
        <w:rPr>
          <w:rFonts w:hint="eastAsia" w:ascii="Times New Roman" w:hAnsi="Times New Roman"/>
          <w:b/>
          <w:bCs/>
          <w:sz w:val="28"/>
          <w:szCs w:val="24"/>
          <w:highlight w:val="none"/>
        </w:rPr>
      </w:pPr>
    </w:p>
    <w:p w14:paraId="5F7C0C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rPr>
      </w:pPr>
      <w:r>
        <w:rPr>
          <w:rFonts w:hint="eastAsia" w:ascii="Times New Roman" w:hAnsi="Times New Roman"/>
          <w:b/>
          <w:bCs/>
          <w:sz w:val="28"/>
          <w:szCs w:val="24"/>
          <w:highlight w:val="none"/>
        </w:rPr>
        <w:br w:type="page"/>
      </w:r>
      <w:r>
        <w:rPr>
          <w:rFonts w:hint="eastAsia" w:ascii="仿宋" w:hAnsi="仿宋" w:eastAsia="仿宋"/>
          <w:b/>
          <w:bCs/>
          <w:highlight w:val="none"/>
          <w:lang w:val="en-US" w:eastAsia="zh-CN"/>
        </w:rPr>
        <w:t>附件5：方案及其他材料（格式自拟）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0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DA197B-DC67-43A2-999E-2CFAC5516A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A8F076B3-EC97-4B10-8C8F-C0622BC4B7B1}"/>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B3ADEB7E-02A8-451F-87D5-EAA36E8670EA}"/>
  </w:font>
  <w:font w:name="H2O">
    <w:panose1 w:val="00000400000000000000"/>
    <w:charset w:val="00"/>
    <w:family w:val="auto"/>
    <w:pitch w:val="default"/>
    <w:sig w:usb0="00000001" w:usb1="00000000" w:usb2="00000000" w:usb3="00000000" w:csb0="00000001" w:csb1="00000000"/>
    <w:embedRegular r:id="rId4" w:fontKey="{ADD678DE-4A14-4BB5-9C91-3CE4152C9F1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BF73FC"/>
    <w:multiLevelType w:val="multilevel"/>
    <w:tmpl w:val="06BF73FC"/>
    <w:lvl w:ilvl="0" w:tentative="0">
      <w:start w:val="1"/>
      <w:numFmt w:val="none"/>
      <w:lvlText w:val="一、"/>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7F4E24"/>
    <w:rsid w:val="000B2BB4"/>
    <w:rsid w:val="000C3EA9"/>
    <w:rsid w:val="000C66FF"/>
    <w:rsid w:val="000F264F"/>
    <w:rsid w:val="001F6666"/>
    <w:rsid w:val="00242E4C"/>
    <w:rsid w:val="00293DD0"/>
    <w:rsid w:val="002C48A8"/>
    <w:rsid w:val="0031513D"/>
    <w:rsid w:val="00334530"/>
    <w:rsid w:val="0034147F"/>
    <w:rsid w:val="00352822"/>
    <w:rsid w:val="004465EC"/>
    <w:rsid w:val="004C240D"/>
    <w:rsid w:val="004E6543"/>
    <w:rsid w:val="004E6993"/>
    <w:rsid w:val="005A12FD"/>
    <w:rsid w:val="005B5CB2"/>
    <w:rsid w:val="00612C54"/>
    <w:rsid w:val="00640274"/>
    <w:rsid w:val="00714EA9"/>
    <w:rsid w:val="0074299D"/>
    <w:rsid w:val="007603B7"/>
    <w:rsid w:val="00820913"/>
    <w:rsid w:val="00866E6E"/>
    <w:rsid w:val="008971DF"/>
    <w:rsid w:val="008A22BD"/>
    <w:rsid w:val="008B4B00"/>
    <w:rsid w:val="008D486E"/>
    <w:rsid w:val="008F10FA"/>
    <w:rsid w:val="008F25DF"/>
    <w:rsid w:val="0090645C"/>
    <w:rsid w:val="00934CD2"/>
    <w:rsid w:val="00973B19"/>
    <w:rsid w:val="00991326"/>
    <w:rsid w:val="009D1DE5"/>
    <w:rsid w:val="00B51552"/>
    <w:rsid w:val="00BF0B51"/>
    <w:rsid w:val="00C461B7"/>
    <w:rsid w:val="00C63546"/>
    <w:rsid w:val="00C80741"/>
    <w:rsid w:val="00CD6DE7"/>
    <w:rsid w:val="00CF593C"/>
    <w:rsid w:val="00D05B9F"/>
    <w:rsid w:val="00D20C19"/>
    <w:rsid w:val="00E0335F"/>
    <w:rsid w:val="00E066F3"/>
    <w:rsid w:val="00E2782F"/>
    <w:rsid w:val="00E34CEC"/>
    <w:rsid w:val="00E46C91"/>
    <w:rsid w:val="00E97DBF"/>
    <w:rsid w:val="00F30DC4"/>
    <w:rsid w:val="00F33ACE"/>
    <w:rsid w:val="00F51F96"/>
    <w:rsid w:val="00F62B6B"/>
    <w:rsid w:val="00FC756C"/>
    <w:rsid w:val="097F35A8"/>
    <w:rsid w:val="0B2E1CEF"/>
    <w:rsid w:val="1AC76357"/>
    <w:rsid w:val="1F7F4E24"/>
    <w:rsid w:val="23D51059"/>
    <w:rsid w:val="29221D94"/>
    <w:rsid w:val="29944DC5"/>
    <w:rsid w:val="2A18036B"/>
    <w:rsid w:val="2CF95460"/>
    <w:rsid w:val="34452E08"/>
    <w:rsid w:val="35CD1307"/>
    <w:rsid w:val="3B3E6803"/>
    <w:rsid w:val="3E963D85"/>
    <w:rsid w:val="4216575F"/>
    <w:rsid w:val="42247333"/>
    <w:rsid w:val="48B91E5D"/>
    <w:rsid w:val="4A7813B3"/>
    <w:rsid w:val="510703FD"/>
    <w:rsid w:val="5A6E3E2D"/>
    <w:rsid w:val="5AD45554"/>
    <w:rsid w:val="5CAD72D5"/>
    <w:rsid w:val="5CED210B"/>
    <w:rsid w:val="5DBA7B13"/>
    <w:rsid w:val="5F0A307C"/>
    <w:rsid w:val="604162CA"/>
    <w:rsid w:val="625269A5"/>
    <w:rsid w:val="6401024A"/>
    <w:rsid w:val="682E35D8"/>
    <w:rsid w:val="6C515FB4"/>
    <w:rsid w:val="6F7B04C9"/>
    <w:rsid w:val="70DB4972"/>
    <w:rsid w:val="74FA4F6E"/>
    <w:rsid w:val="781B79AD"/>
    <w:rsid w:val="7D8D33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2312" w:cstheme="minorBidi"/>
      <w:kern w:val="2"/>
      <w:sz w:val="32"/>
      <w:szCs w:val="32"/>
      <w:lang w:val="en-US" w:eastAsia="zh-CN" w:bidi="ar-SA"/>
    </w:rPr>
  </w:style>
  <w:style w:type="paragraph" w:styleId="3">
    <w:name w:val="heading 2"/>
    <w:basedOn w:val="1"/>
    <w:next w:val="4"/>
    <w:unhideWhenUsed/>
    <w:qFormat/>
    <w:uiPriority w:val="9"/>
    <w:pPr>
      <w:keepNext/>
      <w:keepLines/>
      <w:spacing w:before="200"/>
      <w:outlineLvl w:val="1"/>
    </w:pPr>
    <w:rPr>
      <w:rFonts w:asciiTheme="majorHAnsi" w:hAnsiTheme="majorHAnsi" w:eastAsiaTheme="majorEastAsia" w:cstheme="majorBidi"/>
      <w:b/>
      <w:bCs/>
      <w:color w:val="4874CB" w:themeColor="accent1"/>
      <w:sz w:val="28"/>
      <w:szCs w:val="28"/>
      <w14:textFill>
        <w14:solidFill>
          <w14:schemeClr w14:val="accent1"/>
        </w14:solidFill>
      </w14:textFill>
    </w:rPr>
  </w:style>
  <w:style w:type="character" w:default="1" w:styleId="15">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styleId="4">
    <w:name w:val="Normal Indent"/>
    <w:basedOn w:val="1"/>
    <w:qFormat/>
    <w:uiPriority w:val="0"/>
    <w:pPr>
      <w:ind w:firstLine="420"/>
    </w:pPr>
  </w:style>
  <w:style w:type="paragraph" w:styleId="5">
    <w:name w:val="table of authorities"/>
    <w:basedOn w:val="1"/>
    <w:next w:val="1"/>
    <w:qFormat/>
    <w:uiPriority w:val="0"/>
    <w:pPr>
      <w:ind w:left="420" w:leftChars="200"/>
    </w:pPr>
  </w:style>
  <w:style w:type="paragraph" w:styleId="6">
    <w:name w:val="annotation text"/>
    <w:basedOn w:val="1"/>
    <w:qFormat/>
    <w:uiPriority w:val="0"/>
    <w:pPr>
      <w:jc w:val="left"/>
    </w:pPr>
  </w:style>
  <w:style w:type="paragraph" w:styleId="7">
    <w:name w:val="Body Text"/>
    <w:basedOn w:val="1"/>
    <w:next w:val="8"/>
    <w:qFormat/>
    <w:uiPriority w:val="99"/>
    <w:pPr>
      <w:spacing w:after="120"/>
    </w:pPr>
    <w:rPr>
      <w:rFonts w:ascii="Times New Roman" w:hAnsi="Times New Roman"/>
      <w:szCs w:val="20"/>
    </w:rPr>
  </w:style>
  <w:style w:type="paragraph" w:styleId="8">
    <w:name w:val="Date"/>
    <w:basedOn w:val="1"/>
    <w:next w:val="1"/>
    <w:qFormat/>
    <w:uiPriority w:val="0"/>
    <w:pPr>
      <w:ind w:left="2500" w:leftChars="2500"/>
    </w:pPr>
    <w:rPr>
      <w:rFonts w:ascii="Times New Roman" w:hAnsi="Times New Roman"/>
      <w:szCs w:val="20"/>
    </w:rPr>
  </w:style>
  <w:style w:type="paragraph" w:styleId="9">
    <w:name w:val="footer"/>
    <w:basedOn w:val="1"/>
    <w:link w:val="19"/>
    <w:qFormat/>
    <w:uiPriority w:val="0"/>
    <w:pPr>
      <w:tabs>
        <w:tab w:val="center" w:pos="4153"/>
        <w:tab w:val="right" w:pos="8306"/>
      </w:tabs>
      <w:snapToGrid w:val="0"/>
      <w:jc w:val="left"/>
    </w:pPr>
    <w:rPr>
      <w:sz w:val="18"/>
      <w:szCs w:val="18"/>
    </w:rPr>
  </w:style>
  <w:style w:type="paragraph" w:styleId="10">
    <w:name w:val="header"/>
    <w:basedOn w:val="1"/>
    <w:link w:val="18"/>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w:basedOn w:val="7"/>
    <w:next w:val="1"/>
    <w:unhideWhenUsed/>
    <w:qFormat/>
    <w:uiPriority w:val="99"/>
    <w:pPr>
      <w:ind w:firstLine="420" w:firstLineChars="100"/>
    </w:p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annotation reference"/>
    <w:basedOn w:val="15"/>
    <w:qFormat/>
    <w:uiPriority w:val="0"/>
    <w:rPr>
      <w:sz w:val="21"/>
      <w:szCs w:val="21"/>
    </w:rPr>
  </w:style>
  <w:style w:type="character" w:customStyle="1" w:styleId="18">
    <w:name w:val="页眉 字符"/>
    <w:basedOn w:val="15"/>
    <w:link w:val="10"/>
    <w:qFormat/>
    <w:uiPriority w:val="0"/>
    <w:rPr>
      <w:rFonts w:eastAsia="方正仿宋_GB2312" w:cstheme="minorBidi"/>
      <w:kern w:val="2"/>
      <w:sz w:val="18"/>
      <w:szCs w:val="18"/>
    </w:rPr>
  </w:style>
  <w:style w:type="character" w:customStyle="1" w:styleId="19">
    <w:name w:val="页脚 字符"/>
    <w:basedOn w:val="15"/>
    <w:link w:val="9"/>
    <w:qFormat/>
    <w:uiPriority w:val="0"/>
    <w:rPr>
      <w:rFonts w:eastAsia="方正仿宋_GB2312" w:cstheme="minorBidi"/>
      <w:kern w:val="2"/>
      <w:sz w:val="18"/>
      <w:szCs w:val="18"/>
    </w:rPr>
  </w:style>
  <w:style w:type="paragraph" w:styleId="2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426</Words>
  <Characters>456</Characters>
  <Lines>41</Lines>
  <Paragraphs>11</Paragraphs>
  <TotalTime>4</TotalTime>
  <ScaleCrop>false</ScaleCrop>
  <LinksUpToDate>false</LinksUpToDate>
  <CharactersWithSpaces>456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2026-11-03T21:58:00Z</dcterms:created>
  <dc:creator>钱宗焱</dc:creator>
  <cp:lastModifiedBy>逗逗</cp:lastModifiedBy>
  <cp:lastPrinted>2026-11-03T06:32:00Z</cp:lastPrinted>
  <dcterms:modified xsi:type="dcterms:W3CDTF">2026-11-06T09:04:28Z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CE0BDF80127D409FB83EED995FBBC9D4_13</vt:lpwstr>
  </property>
  <property fmtid="{D5CDD505-2E9C-101B-9397-08002B2CF9AE}" pid="4" name="KSOTemplateDocerSaveRecord">
    <vt:lpwstr>eyJoZGlkIjoiODA5ZjliYmZiNTk4ZWY1NWQ0NjljZjA1YTBhNDg0OTciLCJ1c2VySWQiOiI0MzczNzM5NTUifQ==</vt:lpwstr>
  </property>
</Properties>
</file>